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50 и 56 Бюджетного кодекса Российской Федерации</w:t>
      </w:r>
    </w:p>
    <w:p>
      <w:r>
        <w:rPr>
          <w:b/>
        </w:rPr>
        <w:t>Статья 1</w:t>
      </w:r>
    </w:p>
    <w:p>
      <w:r>
        <w:t>Внести в Бюджетный кодекс Российской Федерации (Собрание законодательства Российской Федерации, 1998, № 31, ст. 3823; 2004, № 34, ст. 3535; 2005, № 27, ст. 2717; № 52, ст. 5572; 2006, № 52, ст. 5503; 2007, № 18, ст. 2117; № 46, ст. 5553; № 50, ст. 6246; 2008, № 48, ст. 5500; 2009, № 1, ст. 18; № 30, ст. 3739; № 39, ст. 4532; № 52, ст. 6450; 2010, № 21, ст. 2524; № 46, ст. 5918; 2011, № 15, ст. 2041; № 49, ст. 7039; 2012, № 26, ст. 3447; № 50, ст. 6967; 2013, № 19, ст. 2331; № 31, ст. 4191; 2014, № 30, ст. 4250; № 40, ст. 5314; № 43, ст. 5795; № 48, ст. 6655, 6664; 2015, № 45, ст. 6202; 2016, № 22, ст. 3093; № 49, ст. 6852; 2017, № 49, ст. 7317; 2018, № 1, ст. 18; № 11, ст. 1580; № 49, ст. 7495, 7528; № 53, ст. 8430; 2019, № 16, ст. 1825; № 52, ст. 7797; 2020, № 31, ст. 5022; № 40, ст. 6168; № 42, ст. 6514; 2021, № 27, ст. 5079; № 49, ст. 8148) следующие изменения</w:t>
      </w:r>
    </w:p>
    <w:p>
      <w:r>
        <w:t>статью 50 дополнить абзацем следующего содержания: "налога, взимаемого в связи с применением специального налогового режима "Автоматизированная упрощенная система налогообложения", в том числе минимального налога, - по нормативу 46 процентов."</w:t>
      </w:r>
    </w:p>
    <w:p>
      <w:r>
        <w:t>пункт 2 статьи 56 дополнить абзацем следующего содержания: "налога, взимаемого в связи с применением специального налогового режима "Автоматизированная упрощенная система налогообложения", в том числе минимального налога, - по нормативу 54 процента."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июля 2022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