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Воздушный кодекс Российской Федерации и отдельные законодательные акты Российской Федерации</w:t>
      </w:r>
    </w:p>
    <w:p>
      <w:r>
        <w:rPr>
          <w:b/>
        </w:rPr>
        <w:t>Статья 1</w:t>
      </w:r>
    </w:p>
    <w:p>
      <w:r>
        <w:t>Внести в Воздушный кодекс Российской Федерации (Собрание законодательства Российской Федерации, 1997, № 12, ст. 1383; 2004, № 35, ст. 3607; № 45, ст. 4377; 2006, № 30, ст. 3290; 2007, № 50, ст. 6245; 2009, № 29, ст. 3616; 2010, № 30, ст. 4014; 2011, № 7, ст. 901; 2012, № 31, ст. 4318; 2013, № 23, ст. 2882; 2014, № 30, ст. 4254; 2015, № 29, ст. 4380; 2016, № 1, ст. 82; № 27, ст. 4224; 2021, № 24, ст. 4226; № 27, ст. 5159; 2022, № 1, ст. 57) следующие изменения: 1) абзац первый пункта 3 статьи 8 после слов "авиационные работы," дополнить словами "заправку гражданских воздушных судов авиационными горюче-смазочными материалами и (или) обработку специальными жидкостями,"; 2) дополнить статьей 82 следующего содержания: "Статья 82. Сертификационные центры и испытательные лаборатории 1. Проведение обязательной сертификации, предусмотренное пунктом 2 статьи 8 настоящего Кодекса, осуществляется с привлечением сертификационных центров и испытательных лабораторий. Порядок привлечения сертификационных центров и испытательных лабораторий устанавливается федеральными авиационными правилами.</w:t>
      </w:r>
    </w:p>
    <w:p>
      <w:r>
        <w:rPr>
          <w:b/>
        </w:rPr>
        <w:t xml:space="preserve">2. </w:t>
      </w:r>
      <w:r>
        <w:t>Федеральный орган исполнительной власти, осуществляющий функции по выработке государственной политики и нормативно-правовому регулированию в сфере гражданской авиации, утверждает требования к сертификационным центрам и испытательным лабораториям, порядок аккредитации сертификационных центров и испытательных лабораторий, требования к реестру аккредитованных сертификационных центров и испытательных лабораторий и порядок ведения такого реестра</w:t>
      </w:r>
    </w:p>
    <w:p>
      <w:r>
        <w:rPr>
          <w:b/>
        </w:rPr>
        <w:t xml:space="preserve">3. </w:t>
      </w:r>
      <w:r>
        <w:t>Федеральный орган исполнительной власти, осуществляющий функции по оказанию государственных услуг и управлению государственным имуществом в сфере воздушного транспорта (гражданской авиации), осуществляет организацию и проведение обязательной сертификации, проводит аккредитацию сертификационных центров и испытательных лабораторий, утверждает перечень областей аккредитации сертификационных центров и испытательных лабораторий, ведет реестр аккредитованных сертификационных центров и испытательных лабораторий и осуществляет контроль за деятельностью аккредитованных сертификационных центров и испытательных лабораторий.";</w:t>
      </w:r>
    </w:p>
    <w:p>
      <w:r>
        <w:rPr>
          <w:b/>
        </w:rPr>
        <w:t xml:space="preserve">2. </w:t>
      </w:r>
      <w:r>
        <w:t>Сертификат летной годности на гражданское воздушное судно выдается после подтверждения соответствия конструкции экземпляра гражданского воздушного судна утвержденной типовой конструкции гражданского воздушного судна, удостоверенной сертификатом типа, аттестатом о годности к эксплуатации либо иным актом об утверждении типовой конструкции гражданского воздушного судна, выданным до 1 января 1967 года, дополнительными сертификатами типа, включая дополнительные сертификаты типа, выданные уполномоченным органом в области гражданской авиации иностранного государства при изменении типовой конструкции гражданского воздушного судна до 1 января 2022 года, а также на основании акта оценки воздушного судна на соответствие применимым требованиям к летной годности и требованиям в области охраны окружающей среды от воздействия деятельности в области авиации, выданного юридическим лицом или индивидуальным предпринимателем, выполняющими техническое обслуживание подлежащих обязательной сертификации беспилотных авиационных систем и (или) их элементов, гражданских воздушных судов, авиационных двигателей, воздушных винтов, за исключением легких, сверхлегких гражданских воздушных судов, не осуществляющих коммерческих воздушных перевозок и авиационных работ</w:t>
      </w:r>
    </w:p>
    <w:p>
      <w:r>
        <w:rPr>
          <w:b/>
        </w:rPr>
        <w:t xml:space="preserve">3. </w:t>
      </w:r>
      <w:r>
        <w:t>Использование гражданского воздушного судна, имеющего сертификат летной годности, выданный на основании акта оценки воздушного судна на соответствие применимым требованиям к летной годности и требованиям в области охраны окружающей среды от воздействия деятельности в области авиации, для осуществления коммерческих воздушных перевозок пассажиров не допускается</w:t>
      </w:r>
    </w:p>
    <w:p>
      <w:r>
        <w:rPr>
          <w:b/>
        </w:rPr>
        <w:t xml:space="preserve">4. </w:t>
      </w:r>
      <w:r>
        <w:t>Действие требований, установленных пунктами 1, 2 и 3 настоящей статьи, может быть изменено или исключено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законом от 31 июля 2020 года № 258-ФЗ "Об экспериментальных правовых режимах в сфере цифровых инноваций в Российской Федерации"</w:t>
      </w:r>
    </w:p>
    <w:p>
      <w:r>
        <w:rPr>
          <w:b/>
        </w:rPr>
        <w:t xml:space="preserve">5. </w:t>
      </w:r>
      <w:r>
        <w:t>Сертификат летной годности выдается уполномоченным органом в области гражданской авиации государства, в котором зарегистрировано воздушное судно, за исключением случаев, предусмотренных статьей 83 bis Конвенции о международной гражданской авиации</w:t>
      </w:r>
    </w:p>
    <w:p>
      <w:r>
        <w:rPr>
          <w:b/>
        </w:rPr>
        <w:t xml:space="preserve">6. </w:t>
      </w:r>
      <w:r>
        <w:t>Допуск к эксплуатации государственных воздушных судов осуществляется в порядке, установленном Правительством Российской Федерации</w:t>
      </w:r>
    </w:p>
    <w:p>
      <w:r>
        <w:rPr>
          <w:b/>
        </w:rPr>
        <w:t xml:space="preserve">7. </w:t>
      </w:r>
      <w:r>
        <w:t>Порядок подтверждения соответствия конструкции гражданского воздушного судна утвержденной типовой конструкции гражданского воздушного судна, форма сертификата летной годности и порядок его оформления устанавливаются федеральными авиационными правилами</w:t>
      </w:r>
    </w:p>
    <w:p>
      <w:r>
        <w:rPr>
          <w:b/>
        </w:rPr>
        <w:t xml:space="preserve">8. </w:t>
      </w:r>
      <w:r>
        <w:t>Процедуры оценки экземпляров гражданских воздушных судов, авиационных двигателей, воздушных винтов на соответствие применимым требованиям к летной годности и требованиям в области охраны окружающей среды от воздействия деятельности в области авиации и выдачи акта оценки гражданских воздушных судов, авиационных двигателей, воздушных винтов на соответствие применимым требованиям к летной годности и требованиям в области охраны окружающей среды от воздействия деятельности в области авиации устанавливаются федеральными авиационными правилами.";</w:t>
      </w:r>
    </w:p>
    <w:p>
      <w:r>
        <w:rPr>
          <w:b/>
        </w:rPr>
        <w:t xml:space="preserve">3. </w:t>
      </w:r>
      <w:r>
        <w:t>в пункте 32 статьи 33 слова "от 0,25 килограмма" заменить словами "от 0,15 килограмма"</w:t>
      </w:r>
    </w:p>
    <w:p>
      <w:r>
        <w:rPr>
          <w:b/>
        </w:rPr>
        <w:t xml:space="preserve">3. </w:t>
      </w:r>
      <w:r>
        <w:t>в пункте 22 статьи 34 слова "от 0,25 килограмма" заменить словами "от 0,15 килограмма"</w:t>
      </w:r>
    </w:p>
    <w:p>
      <w:r>
        <w:rPr>
          <w:b/>
        </w:rPr>
        <w:t xml:space="preserve">3. </w:t>
      </w:r>
      <w:r>
        <w:t>статью 36 изложить в следующей редакции: "Статья 36. Допуск к эксплуатации гражданских воздушных судов и государственных воздушных судов 1. К эксплуатации при наличии сертификата летной годности допускаются:</w:t>
      </w:r>
    </w:p>
    <w:p>
      <w:r>
        <w:rPr>
          <w:b/>
        </w:rPr>
        <w:t xml:space="preserve">3. </w:t>
      </w:r>
      <w:r>
        <w:t>пилотируемые гражданские воздушные суда, за исключением сверхлегких пилотируемых гражданских воздушных судов с массой конструкции 115 килограммов и менее</w:t>
      </w:r>
    </w:p>
    <w:p>
      <w:r>
        <w:rPr>
          <w:b/>
        </w:rPr>
        <w:t xml:space="preserve">3. </w:t>
      </w:r>
      <w:r>
        <w:t>беспилотные гражданские воздушные суда с максимальной взлетной массой более 30 килограммов</w:t>
      </w:r>
    </w:p>
    <w:p>
      <w:r>
        <w:rPr>
          <w:b/>
        </w:rPr>
        <w:t xml:space="preserve">8. </w:t>
      </w:r>
      <w:r>
        <w:t>пункт 11 статьи 53 после слов "правила выдачи" дополнить словами ", приостановления действия и аннулирования"</w:t>
      </w:r>
    </w:p>
    <w:p>
      <w:r>
        <w:rPr>
          <w:b/>
        </w:rPr>
        <w:t>Статья 2</w:t>
      </w:r>
    </w:p>
    <w:p>
      <w:r>
        <w:t>Пункт 2 статьи 6 Федерального закона от 31 июля 1998 года № 155-ФЗ "О внутренних морских водах, территориальном море и прилежащей зоне Российской Федерации" (Собрание законодательства Российской Федерации, 1998, № 31, ст. 3833; 2003, № 27, ст. 2700; 2004, № 35, ст. 3607; 2021, № 24, ст. 4211) изложить в следующей редакции: "2. В отношении судов, плавающих под флагом иностранного государства, зарегистрированных в реестре судов иностранного государства, эксплуатируемых на праве собственности либо иных законных основаниях лицом, связанным с иностранным государством, конечными бенефициарами деятельности которого являются лица, каким-либо образом связанные с иностранным государством, в котором имеются ограничения захода в их морские порты в отношении судов, плавающих под Государственным флагом Российской Федерации, зарегистрированных в одном из реестров судов Российской Федерации, эксплуатируемых на праве собственности либо иных законных основаниях лицом, связанным с Российской Федерацией, конечными бенефициарами деятельности которого являются лица, каким-либо образом связанные с Российской Федерацией, решением Правительства Российской Федерации могут быть установлены ответные ограничения. Порядок подготовки и принятия решения о введении и (или) об отмене ответных ограничений, предусмотренных абзацем первым настоящего пункта, утверждается Правительством Российской Федерации.".</w:t>
      </w:r>
    </w:p>
    <w:p>
      <w:r>
        <w:rPr>
          <w:b/>
        </w:rPr>
        <w:t>Статья 3</w:t>
      </w:r>
    </w:p>
    <w:p>
      <w:r>
        <w:t>Главу VI Федерального закона от 29 октября 1998 года № 164-ФЗ "О финансовой аренде (лизинге)" (Собрание законодательства Российской Федерации, 1998, № 44, ст. 5394; 2002, № 5, ст. 376) дополнить статьей 381 следующего содержания: "Статья 381. Особенности применения отдельных положений настоящего Федерального закона Положения настоящего Федерального закона в части расторжения и изменения условий договоров финансовой аренды (лизинга) с иностранными юридическими лицами в ситуации применения специальных экономических мер в связи с недружественными действиями иностранных государств и международных организаций, связанных с введением ограничительных мер в отношении граждан Российской Федерации и российских юридических лиц, в целях защиты национальных интересов Российской Федерации, обеспечения ее финансовой стабильности применяются с учетом порядка расторжения и изменения условий договоров финансовой аренды (лизинга) с иностранными юридическими лицами, включая изменение порядка расчетов и возврата имущества иностранных юридических лиц по таким договорам и определение группы товаров, по которым применение такого порядка является обязательным.".</w:t>
      </w:r>
    </w:p>
    <w:p>
      <w:r>
        <w:rPr>
          <w:b/>
        </w:rPr>
        <w:t>Статья 4</w:t>
      </w:r>
    </w:p>
    <w:p>
      <w:r>
        <w:t>Статью 231 Кодекса внутреннего водного транспорта Российской Федерации (Собрание законодательства Российской Федерации, 2001, № 11, ст. 1001; 2011, № 29, ст. 4294; 2012, № 18, ст. 2128) дополнить пунктом 4 следующего содержания: "4. В отношении судов смешанного (река - море) плавания, плавающих под флагом иностранного государства, зарегистрированных в реестре судов иностранного государства, эксплуатируемых на праве собственности либо иных законных основаниях лицом, связанным с иностранным государством, конечными бенефициарами деятельности которого являются лица, каким-либо образом связанные с иностранным государством, в котором имеются ограничения захода в их морские порты и прохода по их внутренним водным путям в отношении судов смешанного (река - море) плавания, плавающих под Государственным флагом Российской Федерации, зарегистрированных в одном из реестров судов Российской Федерации, эксплуатируемых на праве собственности либо иных законных основаниях лицом, связанным с Российской Федерацией, конечными бенефициарами деятельности которого являются лица, каким-либо образом связанные с Российской Федерацией, решением Правительства Российской Федерации могут быть установлены ответные ограничения. Порядок подготовки и принятия решения о введении и (или) об отмене ответных ограничений, предусмотренных абзацем первым настоящего пункта, утверждается Правительством Российской Федерации.".</w:t>
      </w:r>
    </w:p>
    <w:p>
      <w:r>
        <w:rPr>
          <w:b/>
        </w:rPr>
        <w:t>Статья 5</w:t>
      </w:r>
    </w:p>
    <w:p>
      <w:r>
        <w:t>Внести в Федеральный закон от 10 января 2003 года № 17-ФЗ "О железнодорожном транспорте в Российской Федерации" (Собрание законодательства Российской Федерации, 2003, № 2, ст. 169; 2009, № 1, ст. 21; 2011, № 30, ст. 4596; 2014, № 49, ст. 6928; 2019, № 30, ст. 4135; 2020, № 50, ст. 8074) следующие изменения</w:t>
      </w:r>
    </w:p>
    <w:p>
      <w:r>
        <w:t>в пункте 1 статьи 3: а) абзац второй после слов "актами Правительства Российской Федерации," дополнить словами "нормативными документами (актами) Совета по железнодорожному транспорту государств - участников Содружества Независимых Государств,"; б) дополнить абзацем следующего содержания: "Особенности применения на территории Российской Федерации нормативных документов (актов) Совета по железнодорожному транспорту государств - участников Содружества Независимых Государств, регулирующих деятельность в области железнодорожного транспорта, а также нормативных документов международных организаций в области железнодорожного транспорта с учетом требований, установленных правом Евразийского экономического союза, определяются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w:t>
      </w:r>
    </w:p>
    <w:p>
      <w:r>
        <w:t>статью 17 дополнить пунктом 11 следующего содержания: "11. Предназначенные для перевозок пассажиров, грузов, багажа, грузобагажа по железнодорожным путям общего пользования железнодорожный подвижной состав и контейнеры подлежат пономерному учету федеральным органом исполнительной власти, осуществляющим функции по реализации государственной политики, оказанию государственных услуг и управлению государственным имуществом в сфере железнодорожного транспорта, в соответствии с правилами пономерного учета железнодорожного подвижного состава и контейнеров, устанавливаемыми указанным федеральным органом исполнительной власти."</w:t>
      </w:r>
    </w:p>
    <w:p>
      <w:r>
        <w:rPr>
          <w:b/>
        </w:rPr>
        <w:t>Статья 6</w:t>
      </w:r>
    </w:p>
    <w:p>
      <w:r>
        <w:t>Внести в статью 13 Федерального закона от 9 февраля 2007 года № 16-ФЗ "О транспортной безопасности" (Собрание законодательства Российской Федерации, 2007, № 7, ст. 837; 2019, № 31, ст. 4429) следующие изменения</w:t>
      </w:r>
    </w:p>
    <w:p>
      <w:r>
        <w:t>пункт 1 части 2 изложить в следующей редакции: "1) объектов транспортной инфраструктуры дорожного хозяйства, расположенных на автомобильных дорогах федерального значения, объектов транспортной инфраструктуры воздушного транспорта, обеспечение транспортной безопасности которых осуществляется организациями, находящимися в ведении федеральных органов исполнительной власти, объектов транспортной инфраструктуры, находящихся в собственности открытого акционерного общества "Российские железные дороги" или используемых этим обществом на ином законном основании, судоходных гидротехнических сооружений, которые расположены на внутренних водных путях, при условии, что оснащение указанных объектов и сооружений техническими средствами обеспечения транспортной безопасности осуществляется поэтапно в сроки, установленные Правительством Российской Федерации;"</w:t>
      </w:r>
    </w:p>
    <w:p>
      <w:r>
        <w:t>часть 4 изложить в следующей редакции: "4. Технические средства обеспечения транспортной безопасности, установленные и используемые субъектами транспортной инфраструктуры, перевозчиками на объектах транспортной инфраструктуры и транспортных средствах до определения требований и порядка, предусмотренных частью 8 статьи 122 настоящего Федерального закона, подлежат сертификации до 31 декабря 2023 года."</w:t>
      </w:r>
    </w:p>
    <w:p>
      <w:r>
        <w:rPr>
          <w:b/>
        </w:rPr>
        <w:t>Статья 7</w:t>
      </w:r>
    </w:p>
    <w:p>
      <w:r>
        <w:t>Внести в Федеральный закон от 14 марта 2009 года № 31-ФЗ "О государственной регистрации прав на воздушные суда и сделок с ними" (Собрание законодательства Российской Федерации, 2009, № 11, ст. 1260; 2011, № 27, ст. 3880) следующие изменения</w:t>
      </w:r>
    </w:p>
    <w:p>
      <w:r>
        <w:t>в статье 12 слова "месячный срок" заменить словами "десятидневный срок"</w:t>
      </w:r>
    </w:p>
    <w:p>
      <w:r>
        <w:t>часть 2 статьи 13 изложить в следующей редакции: "2. Заявление и прилагаемые к нему документы представляются в орган государственной регистрации прав на воздушные суда:</w:t>
      </w:r>
    </w:p>
    <w:p>
      <w:r>
        <w:t>в форме документов на бумажном носителе - посредством личного обращения в орган государственной регистрации прав на воздушные суда или посредством почтового отправления с объявленной ценностью при его пересылке, описью вложения и уведомлением о вручении</w:t>
      </w:r>
    </w:p>
    <w:p>
      <w:r>
        <w:t>в форме электронных документов и (или) электронных образов документов, подписанных усиленной квалифицированной электронной подписью в соответствии с законодательством Российской Федерации, если иное не предусмотрено федеральным законом, - с использованием информационно-телекоммуникационных сетей общего пользования, в том числе сети "Интернет", посредством единого портала государственных и муниципальных услуг (функций), или официального сайта, или иных информационных технологий взаимодействия с органом государственной регистрации прав на воздушные суда."</w:t>
      </w:r>
    </w:p>
    <w:p>
      <w:r>
        <w:rPr>
          <w:b/>
        </w:rPr>
        <w:t>Статья 8</w:t>
      </w:r>
    </w:p>
    <w:p>
      <w:r>
        <w:t>Внести в Федеральный закон от 13 июля 2015 года №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 (Собрание законодательства Российской Федерации, 2015, № 29, ст. 4346; 2018, № 1, ст. 64; 2020, № 24, ст. 3740; 2021, № 50, ст. 8408) следующие изменения: 1) статью 4 дополнить частью 101 следующего содержания: "101. Юридическое лицо, индивидуальный предприниматель, уполномоченный участник договора простого товарищества, которым выданы карты маршрута регулярных перевозок, обязаны приступить к осуществлению перевозок по данному маршруту не позднее чем через девяносто дней со дня его включения в реестр межрегиональных маршрутов регулярных перевозок."; 2) часть 1 статьи 8 дополнить словами ", или в случае предусмотренного частью 7 статьи 39 настоящего Федерального закона отказа юридического лица, индивидуального предпринимателя, уполномоченного участника договора простого товарищества от осуществления перевозок по данному маршруту"; 3) статью 14 дополнить частями 9 - 12 следующего содержания: "9. Особенности определения объема работ, предусмотренных государственным или муниципальным контрактом (этапом исполнения контракта), за невыполнение которого подрядчик выплачивает заказчику штраф, и определения размера такого штрафа устанавливаются Правительством Российской Федерации.</w:t>
      </w:r>
    </w:p>
    <w:p>
      <w:r>
        <w:rPr>
          <w:b/>
        </w:rPr>
        <w:t xml:space="preserve">10. </w:t>
      </w:r>
      <w:r>
        <w:t>Штраф, предусмотренный частью 9 настоящей статьи, начисляется в случае, если контроль за соблюдением расписания осуществляется с использованием информационной системы навигации</w:t>
      </w:r>
    </w:p>
    <w:p>
      <w:r>
        <w:rPr>
          <w:b/>
        </w:rPr>
        <w:t xml:space="preserve">11. </w:t>
      </w:r>
      <w:r>
        <w:t>Подрядчик выплачивает заказчику иные штрафы помимо штрафа, предусмотренного частью 9 настоящей статьи, в случаях, установленных государственным или муниципальным контрактом, заключенным в соответствии с типовыми условиями контрактов, установленными Правительством Российской Федерации, в размере одной тысячи рублей</w:t>
      </w:r>
    </w:p>
    <w:p>
      <w:r>
        <w:rPr>
          <w:b/>
        </w:rPr>
        <w:t xml:space="preserve">12. </w:t>
      </w:r>
      <w:r>
        <w:t>Общая сумма начисленной неустойки (штрафов, пеней) за неисполнение или ненадлежащее исполнение подрядчиком обязательств, предусмотренных государственным или муниципальным контрактом (этапом исполнения контракта), не может превышать цену государственного или муниципального контракта (этапа исполнения контракта).";</w:t>
      </w:r>
    </w:p>
    <w:p>
      <w:r>
        <w:rPr>
          <w:b/>
        </w:rPr>
        <w:t xml:space="preserve">12. </w:t>
      </w:r>
      <w:r>
        <w:t>статью 18 дополнить частью 11 следующего содержания: "11. Решение об изменении вида регулярных перевозок принимается не позднее чем за сто восемьдесят дней до дня окончания срока, на который предоставлено свидетельство об осуществлении перевозок по нерегулируемым тарифам по муниципальному маршруту регулярных перевозок, межмуниципальному маршруту регулярных перевозок, смежному межрегиональному маршруту регулярных перевозок, и вступает в силу по окончании данного срока, если меньшие сроки не согласованы с юридическим лицом, индивидуальным предпринимателем или уполномоченным участником договора простого товарищества, которым выдано такое свидетельство об осуществлении перевозок по нерегулируемым тарифам по муниципальному маршруту регулярных перевозок, межмуниципальному маршруту регулярных перевозок, смежному межрегиональному маршруту регулярных перевозок."</w:t>
      </w:r>
    </w:p>
    <w:p>
      <w:r>
        <w:rPr>
          <w:b/>
        </w:rPr>
        <w:t xml:space="preserve">12. </w:t>
      </w:r>
      <w:r>
        <w:t>в статье 341:</w:t>
      </w:r>
    </w:p>
    <w:p>
      <w:r>
        <w:rPr>
          <w:b/>
        </w:rPr>
        <w:t xml:space="preserve">12. </w:t>
      </w:r>
      <w:r>
        <w:t>в части 1: в пункте 1 слова "в отношении данного маршрута включены в реестр маршрутов регулярных перевозок" заменить словами "включены в карту данного маршрута регулярных перевозок"; в пункте 2 слова "в отношении данного маршрута включены в реестр маршрутов регулярных перевозок" заменить словами "включены в карту данного маршрута регулярных перевозок"</w:t>
      </w:r>
    </w:p>
    <w:p>
      <w:r>
        <w:rPr>
          <w:b/>
        </w:rPr>
        <w:t xml:space="preserve">12. </w:t>
      </w:r>
      <w:r>
        <w:t>в части 2 слова "в отношении данного маршрута включены в реестр маршрутов регулярных перевозок" заменить словами "включены в карту данного маршрута регулярных перевозок"</w:t>
      </w:r>
    </w:p>
    <w:p>
      <w:r>
        <w:rPr>
          <w:b/>
        </w:rPr>
        <w:t>Статья 9</w:t>
      </w:r>
    </w:p>
    <w:p>
      <w:r>
        <w:t>Внести в Федеральный закон от 2 июля 2021 года № 337-ФЗ "О внесении изменений в статьи 2 и 6 Федерального закона "О государственном контроле за осуществлением международных автомобильных перевозок и об ответственности за нарушение порядка их выполнения" и Федеральный закон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 (Собрание законодательства Российской Федерации, 2021, № 27, ст. 5165) следующие изменения</w:t>
      </w:r>
    </w:p>
    <w:p>
      <w:r>
        <w:t>в пункте 3 статьи 2: а) абзац сто третий изложить в следующей редакции: "6) превышено допустимое значение коэффициента допущенных иностранным перевозчиком и водителями транспортных средств, принадлежащих иностранному перевозчику, нарушений законодательства Российской Федерации в области автомобильного транспорта в случае установления или изменения маршрута, обуславливающих изменение сведений, предусмотренных реестром международных маршрутов регулярных перевозок в отношении указанного перевозчика. Допустимое значение коэффициента и порядок расчета такого коэффициента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б) в абзаце сто двадцать четвертом слова "пунктом 1" заменить словами "пунктом 4"</w:t>
      </w:r>
    </w:p>
    <w:p>
      <w:r>
        <w:t>в части 3 статьи 4 слова "сентября 2022" заменить словами "марта 2023"</w:t>
      </w:r>
    </w:p>
    <w:p>
      <w:r>
        <w:rPr>
          <w:b/>
        </w:rPr>
        <w:t>Статья 10</w:t>
      </w:r>
    </w:p>
    <w:p>
      <w:r>
        <w:t>Внести в статью 1 Федерального закона от 30 декабря 2021 года № 488-ФЗ "О внесении изменений в Воздушный кодекс Российской Федерации" (Собрание законодательства Российской Федерации, 2022, № 1, ст. 57) следующие изменения</w:t>
      </w:r>
    </w:p>
    <w:p>
      <w:r>
        <w:t>пункт 1 изложить в следующей редакции: "1) в статье 8: а) пункт 1 дополнить подпунктом 4 следующего содержания: "4) деятельность юридических лиц, осуществляющих разработку и изготовление подлежащей обязательной сертификации в соответствии с подпунктами 2, 21 и 3 настоящего пункта авиационной техники, за исключением легких, сверхлегких гражданских воздушных судов нетиповой конструкции, не осуществляющих коммерческих воздушных перевозок и авиационных работ, а также светосигнального и метеорологического оборудования, устанавливаемого на сертифицированных аэродромах, предназначенных для взлета, посадки, руления и стоянки гражданских воздушных судов. Действие требований, установленных настоящим подпунктом, может быть изменено или исключено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законом от 31 июля 2020 года № 258-ФЗ "Об экспериментальных правовых режимах в сфере цифровых инноваций в Российской Федерации"."; б) в абзаце первом пункта 3 слова "разработку и изготовление воздушных судов и другой авиационной техники," исключить, слова "гражданских воздушных судов," заменить словами "подлежащих обязательной сертификации беспилотных авиационных систем и (или) их элементов, гражданских воздушных судов, авиационных двигателей, воздушных винтов, за исключением легких, сверхлегких гражданских воздушных судов, не осуществляющих коммерческих воздушных перевозок и авиационных работ, управление поддержанием летной годности подлежащих обязательной сертификации беспилотных авиационных систем и (или) их элементов, гражданских воздушных судов, авиационных двигателей, воздушных винтов, за исключением легких, сверхлегких гражданских воздушных судов, не осуществляющих коммерческих воздушных перевозок и авиационных работ,";"</w:t>
      </w:r>
    </w:p>
    <w:p>
      <w:r>
        <w:t>в абзаце четвертом пункта 4 слова "федеральными авиационными правилами" заменить словами "нормами летной годности, которые утверждаются федеральным органом исполнительной власти, осуществляющим функции по оказанию государственных услуг и управлению государственным имуществом в сфере воздушного транспорта (гражданской авиации), и обязательны для применения федеральными органами исполнительной власти, а также юридическими и физическими лицами, участвующими в разработке, испытаниях, серийном производстве, приемке, эксплуатации, ремонте и техническом обслуживании беспилотных авиационных систем и (или) их элементов, гражданских воздушных судов, авиационных двигателей, воздушных винтов", дополнить предложением следующего содержания: "Указанные нормы летной годности не подлежат государственной регистрации."</w:t>
      </w:r>
    </w:p>
    <w:p>
      <w:r>
        <w:t>в абзаце первом пункта 8 слова "пункт 1" заменить словами "абзац первый пункта 1"</w:t>
      </w:r>
    </w:p>
    <w:p>
      <w:r>
        <w:rPr>
          <w:b/>
        </w:rPr>
        <w:t>Статья 11</w:t>
      </w:r>
    </w:p>
    <w:p>
      <w:r>
        <w:rPr>
          <w:b/>
        </w:rPr>
        <w:t xml:space="preserve">1. </w:t>
      </w:r>
      <w:r>
        <w:t>Установить, что Правительство Российской Федерации в 2022 - 2026 годах вправе принимать решения, предусматривающие: (В редакции федеральных законов от 19.12.2022 № 519-ФЗ, от 26.12.2024 № 493-ФЗ) 1) особенности исполнения договоров финансовой аренды (лизинга), договоров аренды иностранных воздушных судов, используемых для полетов лицами, указанными в пункте 3 статьи 61 Воздушного кодекса Российской Федерации, авиационных двигателей и договоров финансовой аренды (лизинга) транспортных средств автомобильного транспорта и городского наземного электрического транспорта;</w:t>
      </w:r>
    </w:p>
    <w:p>
      <w:r>
        <w:rPr>
          <w:b/>
        </w:rPr>
        <w:t xml:space="preserve">2. </w:t>
      </w:r>
      <w:r>
        <w:t>Отдельные полномочия Правительства Российской Федерации, указанные в части 1 настоящей статьи, могут быть возложены Правительством Российской Федерации на федеральные органы исполнительной власти, осуществляющие выработку государственной политики и нормативно-правовое регулирование в соответствующих сферах</w:t>
      </w:r>
    </w:p>
    <w:p>
      <w:r>
        <w:rPr>
          <w:b/>
        </w:rPr>
        <w:t xml:space="preserve">1. </w:t>
      </w:r>
      <w:r>
        <w:t>особенности государственной регистрации предназначенных для выполнения полетов гражданских воздушных судов в Государственном реестре гражданских воздушных судов Российской Федерации и особенности государственной регистрации прав на воздушные суда и сделок с ними</w:t>
      </w:r>
    </w:p>
    <w:p>
      <w:r>
        <w:rPr>
          <w:b/>
        </w:rPr>
        <w:t>Статья 12</w:t>
      </w:r>
    </w:p>
    <w:p>
      <w:r>
        <w:rPr>
          <w:b/>
        </w:rPr>
        <w:t xml:space="preserve">1. </w:t>
      </w:r>
      <w:r>
        <w:t>Настоящий Федеральный закон вступает в силу со дня его официального опубликования, за исключением положений, для которых настоящей статьей предусмотрены иные сроки вступления их в силу</w:t>
      </w:r>
    </w:p>
    <w:p>
      <w:r>
        <w:rPr>
          <w:b/>
        </w:rPr>
        <w:t xml:space="preserve">2. </w:t>
      </w:r>
      <w:r>
        <w:t>Пункт 4 статьи 1 настоящего Федерального закона вступает в силу с 1 сентября 2022 года</w:t>
      </w:r>
    </w:p>
    <w:p>
      <w:r>
        <w:rPr>
          <w:b/>
        </w:rPr>
        <w:t xml:space="preserve">3. </w:t>
      </w:r>
      <w:r>
        <w:t>Пункт 1 статьи 1 и абзац четвертый пункта 2 статьи 7 настоящего Федерального закона вступают в силу с 1 марта 2023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