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внесении изменений в Федеральный закон "О промышленной политике в Российской Федерации" в части регулирования специальных инвестиционных контрактов"</w:t>
      </w:r>
    </w:p>
    <w:p>
      <w:r>
        <w:rPr>
          <w:b/>
        </w:rPr>
        <w:t>Статья 1</w:t>
      </w:r>
    </w:p>
    <w:p>
      <w:r>
        <w:t>Внести в статью 2 Федерального закона от 2 августа 2019 года № 290-ФЗ "О внесении изменений в Федеральный закон "О промышленной политике в Российской Федерации" в части регулирования специальных инвестиционных контрактов" (Собрание законодательства Российской Федерации, 2019, № 31, ст. 4449; 2020, № 31, ст. 5054) следующие изменения: 1) часть 2 изложить в следующей редакции: "2. Изменение и расторжение специальных инвестиционных контрактов, заключенных с участием Российской Федерации и действующих на день вступления в силу настоящего Федерального закона, осуществляются в порядке, действовавшем на день заключения таких специальных инвестиционных контрактов, с учетом особенностей, установленных частью 21 настоящей статьи."; 2) дополнить частями 21 и 22 следующего содержания: "21. В случае, если в отношении Российской Федерации либо инвестора и (или) иных лиц, указанных в заключенном с участием Российской Федерации на день вступления в силу настоящего Федерального закона специальном инвестиционном контракте,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были установлены односторонние меры ограничительного характера, препятствующие реализации в соответствии с таким специальным инвестиционным контрактом инвестиционного проекта, срок действия такого специального инвестиционного контракта, установленный в соответствии с частью 4 статьи 16 Федерального закона от 31 декабря 2014 года № 488-ФЗ "О промышленной политике в Российской Федерации", может быть продлен, при этом общий срок действия такого специального инвестиционного контракта не должен превышать двенадцать лет.</w:t>
      </w:r>
    </w:p>
    <w:p>
      <w:r>
        <w:rPr>
          <w:b/>
        </w:rPr>
        <w:t xml:space="preserve">22. </w:t>
      </w:r>
      <w:r>
        <w:t>Правительство Российской Федерации в 2022 году вправе устанавливать дополнительные особенности изменения и расторжения специальных инвестиционных контрактов, указанных в части 21 настоящей статьи.";</w:t>
      </w:r>
    </w:p>
    <w:p>
      <w:r>
        <w:rPr>
          <w:b/>
        </w:rPr>
        <w:t xml:space="preserve">22. </w:t>
      </w:r>
      <w:r>
        <w:t>части 3 и 4 признать утратившими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