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2014, № 48, ст. 6643; 2019, № 29, ст. 3859; 2020, № 9, ст. 1131; № 50, ст. 8043; 2021, № 24, ст. 4188; № 27, ст. 5165) следующие изменения</w:t>
      </w:r>
    </w:p>
    <w:p>
      <w:r>
        <w:t>в абзаце двадцатом статьи 1 слова "2 процента" заменить словами "10 процентов"</w:t>
      </w:r>
    </w:p>
    <w:p>
      <w:r>
        <w:t>пункт 6 статьи 2 дополнить предложением следующего содержания: "Указанный порядок определяет в том числе случаи и порядок установления условий распределения иностранных разрешений и многосторонних разрешений."</w:t>
      </w:r>
    </w:p>
    <w:p>
      <w:r>
        <w:t>в статье 3: а) в пункте 1: в абзаце третьем слова "2 процента" заменить словами "10 процентов"; в абзаце четвертом слова "2 процента" заменить словами "10 процентов"; б) в пункте 2 слова "2 процента" заменить словами "10 процентов"; в) пункт 4 признать утратившим силу; г) в пункте 5 слова "Упрощенный порядок выдачи специального разрешения, порядок" заменить словом "Порядок"</w:t>
      </w:r>
    </w:p>
    <w:p>
      <w:r>
        <w:rPr>
          <w:b/>
        </w:rPr>
        <w:t>Статья 2</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2011, № 15, ст. 2041; 2015, № 29, ст. 4374; № 48, ст. 6723; 2016, № 1, ст. 74; № 27, ст. 4190; 2019, № 31, ст. 4429; 2020, № 9, ст. 1131; № 30, ст. 4765; № 42, ст. 6513; 2021, № 27, ст. 5164) следующие изменения</w:t>
      </w:r>
    </w:p>
    <w:p>
      <w:r>
        <w:t>в части 1 статьи 29: а) в пункте 2 слова "два процента" заменить словами "десять процентов"; б) пункт 3 дополнить словами ", за исключением тяжеловесных транспортных средств,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w:t>
      </w:r>
    </w:p>
    <w:p>
      <w:r>
        <w:t>в статье 31: а) в части 2 слова "два процента" заменить словами "десять процентов"; б) в части 9 слова "(в том числе маршрутов, движение по которым осуществляется в соответствии со специальным разрешением, выданным в упрощенном порядке в соответствии с частью 17 настоящей статьи)" исключить; в) в части 17 первое предложение изложить в следующей редакции: "Специальное разрешение на движение тяжеловесного и (или) крупногабаритного транспортного средства по постоянному маршруту, в том числе в электронной форме, выдается в упрощенном порядке."; г) часть 18 признать утратившей силу</w:t>
      </w:r>
    </w:p>
    <w:p>
      <w:r>
        <w:rPr>
          <w:b/>
        </w:rPr>
        <w:t>Статья 3</w:t>
      </w:r>
    </w:p>
    <w:p>
      <w:r>
        <w:t>Статью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6, ст. 566; № 45, ст. 6153; 2017, № 30, ст. 4445) дополнить пунктами 47 и 48 следующего содержания: "47) перевозка морским и внутренним водным транспортом грузов, перечень которых утверждается Правительством Российской Федерации, между местами погрузки и местами выгрузки, находящимися на территории Российской Федерации и (или) в исключительной экономической зоне Российской Федерации, а также от мест погрузки, находящихся на территории Российской Федерации или в исключительной экономической зоне Российской Федерации, до первого места выгрузки или перегрузки, находящегося за пределами территории Российской Федерации;</w:t>
      </w:r>
    </w:p>
    <w:p>
      <w:r>
        <w:t>деятельность, связанная с разработкой и созданием автоматизированной информационной системы оформления воздушных перевозок, баз данных, входящих в ее состав, информационно-телекоммуникационной сети, обеспечивающей работу указанной системы, а также с осуществлением хозяйствующим субъектом функций ее оператора."</w:t>
      </w:r>
    </w:p>
    <w:p>
      <w:r>
        <w:rPr>
          <w:b/>
        </w:rPr>
        <w:t>Статья 4</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27, ст. 5165; 2022, № 12, ст. 1783) следующие изменения</w:t>
      </w:r>
    </w:p>
    <w:p>
      <w:r>
        <w:t>часть 1 статьи 39 дополнить пунктом 11 следующего содержания: "11) в форме электронных документов (пакета электронных документов), подписанных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t>часть 5 статьи 4 дополнить предложением следующего содержания: "Если заявление об изменении межрегионального маршрута регулярных перевозок предусматривает отмену отдельных рейсов по данному маршруту, уменьшение максимального количества транспортных средств отдельных классов и (или) использование транспортных средств меньшего класса, срок рассмотрения указанного заявления не должен превышать десять рабочих дней."</w:t>
      </w:r>
    </w:p>
    <w:p>
      <w:r>
        <w:t>статью 6 дополнить частью 8 следующего содержания: "8. Положения частей 2 - 7 настоящей статьи не применяются в отношении заявлений об изменении межрегионального маршрута, предусматривающих отмену отдельных рейсов по маршруту регулярных перевозок, уменьшение максимального количества транспортных средств отдельных классов и (или) использование транспортных средств меньшего класса."</w:t>
      </w:r>
    </w:p>
    <w:p>
      <w:r>
        <w:t>часть 7 статьи 27 изложить в следующей редакции: "7. Свидетельство об осуществлении перевозок по маршруту регулярных перевозок, выданное юридическому лицу, индивидуальному предпринимателю, уполномоченному участнику договора простого товарищества, подлежит переоформлению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w:t>
      </w:r>
    </w:p>
    <w:p>
      <w:r>
        <w:t>часть 6 статьи 28 изложить в следующей редакции: "6. Карта маршрута регулярных перевозок, выданная юридическому лицу, индивидуальному предпринимателю или одному из участников договора простого товарищества, подлежит переоформлению в случае продления срока ее действия, изменения в установленном порядке класса или характеристик транспортного средства,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w:t>
      </w:r>
    </w:p>
    <w:p>
      <w:r>
        <w:t>пункт 1 части 5 статьи 29 признать утратившим силу</w:t>
      </w:r>
    </w:p>
    <w:p>
      <w:r>
        <w:t>в части 6 статьи 31 слова "владельцем остановочного пункта" заменить словами "владельцем остановочного пункта или уполномоченным органом исполнительной власти субъекта Российской Федерации, на территории которого расположен остановочный пункт,"</w:t>
      </w:r>
    </w:p>
    <w:p>
      <w:r>
        <w:t>в части 3 статьи 32 слова "владелец остановочного пункта обязан" заменить словами "владелец остановочного пункта или уполномоченный орган исполнительной власти субъекта Российской Федерации, представившие заявление о регистрации, обязан", слова "владельца остановочного пункта" заменить словами "владельца остановочного пункта или уполномоченного органа исполнительной власти субъекта Российской Федерации, представивших заявление о регистрации,"</w:t>
      </w:r>
    </w:p>
    <w:p>
      <w:r>
        <w:t>статью 37 признать утратившей силу</w:t>
      </w:r>
    </w:p>
    <w:p>
      <w:r>
        <w:rPr>
          <w:b/>
        </w:rPr>
        <w:t>Статья 5</w:t>
      </w:r>
    </w:p>
    <w:p>
      <w:r>
        <w:t>Часть 2 статьи 197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изложить в следующей редакции: "2. Железнодорожные транспортные средства международной перевозки, указанные в пункте 5 статьи 275 Кодекса Союза, могут однократно использоваться для внутренней перевозки по территории Российской Федерации, за исключением контейнеров. Контейнеры, перевозимые на железнодорожных транспортных средствах, указанные в пункте 5 статьи 275 Кодекса Союза, а также контейнеры, перевозимые на морских судах, судах внутреннего водного транспорта и судах смешанного (река - море) плавания, могут многократно в пределах срока временного ввоза использоваться для внутренних перевозок по территории Российской Федерации.".</w:t>
      </w:r>
    </w:p>
    <w:p>
      <w:r>
        <w:rPr>
          <w:b/>
        </w:rPr>
        <w:t>Статья 6</w:t>
      </w:r>
    </w:p>
    <w:p>
      <w:r>
        <w:t>Часть 1 статьи 18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13, ст. 1960) дополнить пунктами 23 - 26 следующего содержания: "23) особенности проверки соблюдения требований к движению тяжеловесного и (или) крупногабаритного транспортного средства (весового и габаритного контроля), предусмотренных законодательством Российской Федерации об автомобильных дорогах и о дорожной деятельности и государственном контроле за осуществлением международных автомобильных перевозок,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w:t>
      </w:r>
    </w:p>
    <w:p>
      <w:r>
        <w:t>особенности открытия пунктов пропуска через Государственную границу Российской Федерации</w:t>
      </w:r>
    </w:p>
    <w:p>
      <w:r>
        <w:t>особенности исполнения договоров финансовой аренды (лизинга) морских судов, судов внутреннего водного транспорта или судов смешанного (река - море) плавания</w:t>
      </w:r>
    </w:p>
    <w:p>
      <w:r>
        <w:t>особенности исполнения договоров финансовой аренды (лизинга) железнодорожного подвижного состава, контейнеров."</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абзаца третьего статьи 3 и пункта 1 статьи 4 настоящего Федерального закона</w:t>
      </w:r>
    </w:p>
    <w:p>
      <w:r>
        <w:rPr>
          <w:b/>
        </w:rPr>
        <w:t xml:space="preserve">2. </w:t>
      </w:r>
      <w:r>
        <w:t>Абзац третий статьи 3 настоящего Федерального закона вступает в силу с 30 октября 2022 года</w:t>
      </w:r>
    </w:p>
    <w:p>
      <w:r>
        <w:rPr>
          <w:b/>
        </w:rPr>
        <w:t xml:space="preserve">3. </w:t>
      </w:r>
      <w:r>
        <w:t>Пункт 1 статьи 4 настоящего Федерального закона вступает в силу с 1 марта 2023 года</w:t>
      </w:r>
    </w:p>
    <w:p>
      <w:r>
        <w:rPr>
          <w:b/>
        </w:rPr>
        <w:t xml:space="preserve">4. </w:t>
      </w:r>
      <w:r>
        <w:t>Действие положений части 2 статьи 197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редакции настоящего Федерального закона) распространяется на контейнеры, перевозимые на железнодорожных транспортных средствах, указанные в пункте 5 статьи 275 Таможенного кодекса Евразийского экономического союза, и контейнеры, перевозимые на морских судах, судах внутреннего водного транспорта и судах смешанного (река - море) плавания, находящиеся на территории Российской Федерации до дня вступления в силу настоящего Федерального закона</w:t>
      </w:r>
    </w:p>
    <w:p>
      <w:r>
        <w:rPr>
          <w:b/>
        </w:rPr>
        <w:t xml:space="preserve">5. </w:t>
      </w:r>
      <w:r>
        <w:t>В течение трехсот шестидесяти пяти дней со дня вступления в силу акта Правительства Российской Федерации, предусмотренного пунктом 47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иностранный инвестор или группа лиц, в которую входит иностранный инвестор, имеющие на день вступления в силу указанного акта Правительства Российской Федерации право прямо или косвенно распоряжаться не менее чем пятью процентами и не более чем пятьюдесятью процентами общего количества голосов, приходящихся на голосующие акции (доли), составляющие уставный капитал юридического лица, осуществляющего перевозки морским и внутренним водным транспортом грузов, перечень которых утверждается Правительством Российской Федерации, между местами погрузки и местами выгрузки, находящимися на территории Российской Федерации и (или) в исключительной экономической зоне Российской Федерации, а также от мест погрузки, находящихся на территории Российской Федерации или в исключительной экономической зоне Российской Федерации, до первого места выгрузки или перегрузки, находящегося за пределами территории Российской Федерации (далее - перевозки морским и внутренним водным транспортом), обязаны представить информацию об этом в федеральный орган исполнительной власти, осуществляющий функции по контролю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 (далее - уполномоченный орган), в порядке, установленном Правительством Российской Федерации</w:t>
      </w:r>
    </w:p>
    <w:p>
      <w:r>
        <w:rPr>
          <w:b/>
        </w:rPr>
        <w:t xml:space="preserve">6. </w:t>
      </w:r>
      <w:r>
        <w:t>В течение трехсот шестидесяти пяти дней со дня вступления в силу акта Правительства Российской Федерации, предусмотренного пунктом 47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иностранный инвестор или группа лиц, в которую входит иностранный инвестор, имеющие на день вступления в силу указанного акта Правительства Российской Федерации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юридического лица, осуществляющего перевозки морским и внутренним водным транспортом, обязаны совершить одно из следующих действий</w:t>
      </w:r>
    </w:p>
    <w:p>
      <w:r>
        <w:rPr>
          <w:b/>
        </w:rPr>
        <w:t xml:space="preserve">7. </w:t>
      </w:r>
      <w:r>
        <w:t>В случае нарушения иностранным инвестором или группой лиц, в которую входит иностранный инвестор, требований, указанных в части 5 настоящей статьи, суд по иску уполномоченного органа принимает решение о лишении такого иностранного инвестора или такой группы лиц права голоса на общем собрании акционеров (участников) юридического лица, осуществляющего перевозки морским и внутренним водным транспортом, до дня получения этими лицами информации от уполномоченного органа о надлежащем выполнении ими требований части 5 настоящей статьи. В этом случае принадлежащие иностранному инвестору или группе лиц, в которую входит иностранный инвестор, голоса не учитываются при определении кворума общего собрания акционеров (участников) данного юридического лица и подсчете голосов на общем собрании акционеров (участников) данного юридического лица</w:t>
      </w:r>
    </w:p>
    <w:p>
      <w:r>
        <w:rPr>
          <w:b/>
        </w:rPr>
        <w:t xml:space="preserve">8. </w:t>
      </w:r>
      <w:r>
        <w:t>В случае нарушения иностранным инвестором или группой лиц, в которую входит иностранный инвестор, требований, указанных в части 6 настоящей статьи, суд по иску уполномоченного органа принимает решение о лишении такого иностранного инвестора или такой группы лиц права голоса на общем собрании акционеров (участников) юридического лица, осуществляющего перевозки морским и внутренним водным транспортом. В случае лишения иностранного инвестора или группы лиц, в которую входит иностранный инвестор, в судебном порядке права голоса на общем собрании акционеров (участников) юридического лица, осуществляющего перевозки морским и внутренним водным транспортом, принадлежащие такому иностранному инвестору или такой группе лиц голоса не учитываются при определении кворума общего собрания акционеров (участников) данного юридического лица и подсчете голосов на общем собрании акционеров (участников) данного юридического лица</w:t>
      </w:r>
    </w:p>
    <w:p>
      <w:r>
        <w:rPr>
          <w:b/>
        </w:rPr>
        <w:t xml:space="preserve">9. </w:t>
      </w:r>
      <w:r>
        <w:t>В случае, если иностранный инвестор или группа лиц, в которую входит иностранный инвестор, указанные в части 6 настоящей статьи, получили отказ в согласовании установления контроля по ходатайству, поданному в соответствии с пунктом 1 части 6 настоящей статьи, такой иностранный инвестор или такая группа лиц обязаны в срок, не превышающий трех месяцев со дня направления такому иностранному инвестору или такой группе лиц уполномоченным органом решения об отказе в согласовании установления указанного контроля, произвести отчуждение части принадлежащих им акций (долей) юридического лица, осуществляющего перевозки морским и внутренним водным транспортом, таким образом, чтобы оставшиеся акции (доли) не предоставляли такому иностранному инвестору или такой группе лиц право прямо или косвенно распоряжаться пятьюдесятью и более процентами общего количества голосов, приходящихся на голосующие акции (доли), составляющие уставный капитал данного юридического лица. В случае невыполнения этого требования такой иностранный инвестор или такая группа лиц в судебном порядке по иску уполномоченного органа лишается права голоса на общем собрании акционеров (участников) юридического лица, осуществляющего перевозки морским и внутренним водным транспортом, и принадлежащие такому иностранному инвестору или такой группе лиц голоса не учитываются при определении кворума общего собрания акционеров (участников) данного юридического лица и подсчете голосов на общем собрании акционеров (участников) данного юридического лица</w:t>
      </w:r>
    </w:p>
    <w:p>
      <w:r>
        <w:rPr>
          <w:b/>
        </w:rPr>
        <w:t xml:space="preserve">6. </w:t>
      </w:r>
      <w:r>
        <w:t>подать ходатайство о согласовании установления контроля над данным юридическим лицом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редакции настоящего Федерального закона)</w:t>
      </w:r>
    </w:p>
    <w:p>
      <w:r>
        <w:rPr>
          <w:b/>
        </w:rPr>
        <w:t xml:space="preserve">6. </w:t>
      </w:r>
      <w:r>
        <w:t>произвести отчуждение части принадлежащих им акций (долей) данного юридического лица таким образом, чтобы после данного отчуждения иностранному инвестору или группе лиц, в которую входит такой иностранный инвестор, принадлежало право прямо или косвенно распоряжаться менее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 и направить уведомление об этом в уполномоченный орган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