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 Федерального закона "О государственной регистрации юридических лиц и индивидуальных предпринимателей"</w:t>
      </w:r>
    </w:p>
    <w:p>
      <w:r>
        <w:rPr>
          <w:b/>
        </w:rPr>
        <w:t>Статья 1</w:t>
      </w:r>
    </w:p>
    <w:p>
      <w:r>
        <w:t>Внести в пункт 12 статьи 9 Федерального закона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2008, № 30, ст. 3616; 2009, № 1, ст. 20; № 29, ст. 3642; 2010, № 31, ст. 4196; 2012, № 31, ст. 4322; 2013, № 26, ст. 3207; 2014, № 19, ст. 2312; 2015, № 13, ст. 1811; 2016, № 1, ст. 11; 2017, № 45, ст. 6586; 2021, № 22, ст. 3678; № 27, ст. 5182) изменение, дополнив его абзацем следующего содержания: "направления документов, предусмотренных статьей 223 настоящего Федерального закона, в регистрирующий орган почтовым отправлением с описью вложения, если подпись индивидуального предпринимателя, являющегося подозреваемым или обвиняемым, содержащимися под стражей, либо осужденным, отбывающим наказание в виде лишения свободы, удостоверена начальником места содержания под стражей или начальником исправительного учреждения.".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