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265-10 Кодекса административного судопроизводства Российской Федерации и статьи 13 и 15 Федерального закона "О противодействии экстремистской деятельности"</w:t>
      </w:r>
    </w:p>
    <w:p>
      <w:r>
        <w:rPr>
          <w:b/>
        </w:rPr>
        <w:t>Статья 1</w:t>
      </w:r>
    </w:p>
    <w:p>
      <w:r>
        <w:t>Часть 3 статьи 26510 Кодекса административного судопроизводства Российской Федерации (Собрание законодательства Российской Федерации, 2015, № 10, ст. 1391; 2018, № 49, ст. 7523) дополнить предложением следующего содержания: "В федеральный орган исполнительной власти, осуществляющий функции в сфере государственной регистрации некоммерческих организаций, общественных объединений и религиозных организаций, также направляются информационные материалы, признанные решением суда экстремистскими.".</w:t>
      </w:r>
    </w:p>
    <w:p>
      <w:r>
        <w:rPr>
          <w:b/>
        </w:rPr>
        <w:t>Статья 2</w:t>
      </w:r>
    </w:p>
    <w:p>
      <w:r>
        <w:t>Внести в Федеральный закон от 25 июля 2002 года № 114-ФЗ "О противодействии экстремистской деятельности" (Собрание законодательства Российской Федерации, 2002, № 30, ст. 3031; 2006, № 31, ст. 3447; 2013, № 27, ст. 3477; 2014, № 26, ст. 3385; 2015, № 1, ст. 58; № 10, ст. 1393) следующие изменения</w:t>
      </w:r>
    </w:p>
    <w:p>
      <w:r>
        <w:t>в статье 13: а) в части первой первое предложение дополнить словами ", за исключением случаев, предусмотренных федеральными законами"; б) в части четвертой слово "направляется" заменить словами "и экстремистские материалы направляются"; в) дополнить частями восьмой - десятой следующего содержания: "В целях обеспечения деятельности федеральных органов государственной власти по противодействию экстремистской деятельности федеральный орган государственной регистрации ведет банк данных экстремистских материалов, в который вносит поступившие из суда копию решения о признании информационных материалов экстремистскими и экстремистские материалы. Сведения, содержащиеся в банке данных экстремистских материалов, являются информацией ограниченного доступа и предоставляются должностным лицам органов, участвующих в противодействии экстремистской деятельности, в соответствии с их компетенцией, установленной федеральными законами, нормативными правовыми актами Президента Российской Федерации и Правительства Российской Федерации. Порядок формирования, ведения и использования банка данных экстремистских материалов устанавливается федеральным органом государственной регистрации."</w:t>
      </w:r>
    </w:p>
    <w:p>
      <w:r>
        <w:t>в статье 15: а) часть вторую дополнить словами ", по основаниям и в порядке, которые установлены законодательством Российской Федерации о выборах, ограничивается право быть избранным лица, причастного к деятельности экстремистской или террористической организации"; б) часть пятую после слов "запрете деятельности" дополнить словами "(далее - экстремистская или террористическая организация)"; в) дополнить частями шестой - девятой следующего содержания: "В целях проведения по обращениям избирательных комиссий проверки достоверности сведений, представленных кандидатами в соответствии с законодательством Российской Федерации о выборах, федеральный орган государственной регистрации ведет единый реестр сведений о лицах, причастных к деятельности экстремистской или террористической организации (далее - единый реестр). Включению в единый реестр подлежат сведения о физическом лице, являвшемся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причастность которого к деятельности экстремистской или террористической организации установлена вступившим в законную силу решением суда. В целях ведения единого реестра федеральному органу государственной регистрации предоставляются сведения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принимающим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федеральным органом исполнительной власти, осуществляющим функции по контролю и надзору за соблюдением законодательства о налогах и сборах, Пенсионным фондом Российской Федерации и органами прокуратуры. Состав предоставляемых сведений и порядок их предоставления устанавливаются Правительством Российской Федерации. Порядок формирования, ведения и использования единого реестра определяется федеральным органом государственной регистрации."</w:t>
      </w:r>
    </w:p>
    <w:p>
      <w:r>
        <w:rPr>
          <w:b/>
        </w:rPr>
        <w:t>Статья 3</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подпункта "в" пункта 2 статьи 2 настоящего Федерального закона</w:t>
      </w:r>
    </w:p>
    <w:p>
      <w:r>
        <w:rPr>
          <w:b/>
        </w:rPr>
        <w:t xml:space="preserve">2. </w:t>
      </w:r>
      <w:r>
        <w:t>Подпункт "в" пункта 2 статьи 2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