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Семейный кодекс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Семейный кодекс Российской Федерации (Собрание законодательства Российской Федерации, 1996, № 1, ст. 16; 2016, № 1, ст. 11) следующие изменения</w:t>
      </w:r>
    </w:p>
    <w:p>
      <w:r>
        <w:t>абзац второй пункта 3 статьи 35 дополнить словами ", по правилам статьи 1731 Гражданского кодекса Российской Федерации"</w:t>
      </w:r>
    </w:p>
    <w:p>
      <w:r>
        <w:t>в пункте 2 статьи 39 слова "расходовал общее имущество супругов в ущерб интересам семьи" заменить словами "совершал недобросовестные действия, которые привели к уменьшению общего имущества супругов, в том числе совершал без необходимого в силу пункта 3 статьи 35 настоящего Кодекса согласия другого супруга на невыгодных условиях такие сделки по отчуждению общего имущества супругов, к которым судом не были применены последствия их недействительности по требованию другого супруга"</w:t>
      </w:r>
    </w:p>
    <w:p>
      <w:r>
        <w:rPr>
          <w:b/>
        </w:rPr>
        <w:t>Статья 2</w:t>
      </w:r>
    </w:p>
    <w:p>
      <w:r>
        <w:t>Статью 30 Жилищного кодекса Российской Федерации (Собрание законодательства Российской Федерации, 2005, № 1, ст. 14; 2015, № 1, ст. 11; 2018, № 1, ст. 87) дополнить частью 11 следующего содержания: "11. Собственник жилого помещения не вправе совершать действия, влекущие возникновение долей в праве собственности на это помещение, а обладатель доли в праве общей собственности на жилое помещение не вправе совершать действия, влекущие разделение этой доли в праве общей собственности, если в результате таких действий площадь жилого помещения, приходящаяся на долю каждого из сособственников и определяемая пропорционально размеру доли каждого из сособственников, составит менее шести квадратных метров общей площади жилого помещения на каждого сособственника. Сделки, заключенные с нарушением правил, предусмотренных настоящей частью, являются ничтожными. Положения настоящей части не применяются при возникновении права общей долевой собственности на жилое помещение в силу закона, в том числе в результате наследования по любому из оснований, а также в случаях приватизации жилых помещений.".</w:t>
      </w:r>
    </w:p>
    <w:p>
      <w:r>
        <w:rPr>
          <w:b/>
        </w:rPr>
        <w:t>Статья 3</w:t>
      </w:r>
    </w:p>
    <w:p>
      <w:r>
        <w:t>Часть 4 статьи 10 Федерального закона от 29 декабря 2006 года № 256-ФЗ "О дополнительных мерах государственной поддержки семей, имеющих детей" (Собрание законодательства Российской Федерации, 2007, № 1, ст. 19; 2008, № 52, ст. 6243; 2010, № 31, ст. 4210; 2011, № 1, ст. 52; № 27, ст. 3880; 2013, № 23, ст. 2886; 2014, № 26, ст. 3377; 2015, № 10, ст. 1424; № 21, ст. 2983; 2017, № 1, ст. 11; 2019, № 12, ст. 1227; № 26, ст. 3317; № 31, ст. 4442; 2020, № 9, ст. 1127; № 29, ст. 4512; № 52, ст. 8597) дополнить предложением следующего содержания: "В этом случае правила части 11 статьи 30 Жилищного кодекса Российской Федерации не применяются.".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2022 года</w:t>
      </w:r>
    </w:p>
    <w:p>
      <w:r>
        <w:rPr>
          <w:b/>
        </w:rPr>
        <w:t xml:space="preserve">2. </w:t>
      </w:r>
      <w:r>
        <w:t>Положения Семейного кодекса Российской Федерации (в редакции настоящего Федерального закона) применяются к отношениям, возникшим после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Положения Жилищного кодекса Российской Федерации (в редакции настоящего Федерального закона) применяются к отношениям, возникшим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