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банках и банковской деятельности" и статьи 5 и 15 Федерального закона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Пункт 4 части третьей статьи 5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2003, № 52, ст. 5037; 2009, № 48, ст. 5731; 2011, № 7, ст. 905; № 27, ст. 3873; 2014, № 40, ст. 5317; 2016, № 1, ст. 23; № 26, ст. 3860; 2017, № 31, ст. 4761; 2019, № 30, ст. 4151) после слов "драгоценных металлов" дополнить словами ", обработанными природными алмазами,".</w:t>
      </w:r>
    </w:p>
    <w:p>
      <w:r>
        <w:rPr>
          <w:b/>
        </w:rPr>
        <w:t>Статья 2</w:t>
      </w:r>
    </w:p>
    <w:p>
      <w:r>
        <w:t>Внести в Федеральный закон от 27 июля 2010 года №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(Собрание законодательства Российской Федерации, 2010, № 31, ст. 4193; 2011, № 29, ст. 4291; 2012, № 31, ст. 4334; 2013, № 30, ст. 4084; 2018, № 32, ст. 5103; 2021, № 24, ст. 4179) следующие изменения</w:t>
      </w:r>
    </w:p>
    <w:p>
      <w:r>
        <w:t>в статье 5: а) пункт 1 части 3 после слов "на поддержание цен" дополнить словами "или спроса"; б) дополнить частью 31 следующего содержания: "31. Не являются манипулированием рынком действия клиента участника торгов, в том числе подача поручения (распоряжения) на совершение участником торгов действий, определенных пунктами 3 - 5 части 1 настоящей статьи, если такие действия клиента участника торгов, а также участника торгов, совершенные по поручению (распоряжению) клиента, направлены на поддержание цен или спроса на ценные бумаги в связи с размещением и обращением ценных бумаг и осуществляются в соответствии с договором, сторонами которого являются эмитент или лицо, обязанное по ценным бумагам, и участник торгов. Сторонами по данному договору также могут быть организатор торговли и (или) клиент участника торгов. Если клиент участника торгов не является стороной данного договора, в нем должно быть указано, за счет какого клиента действует участник торгов."; в) часть 4 изложить в следующей редакции: "4. Порядок и условия поддержания цен, спроса, предложения или объема торгов финансовым инструментом, иностранной валютой и (или) товаром в соответствии с частями 3 и 31 настоящей статьи устанавливаются нормативными актами Банка России. Банк России вправе установить требования к осуществляющим указанное поддержание участникам торгов и (или) клиентам участников торгов."</w:t>
      </w:r>
    </w:p>
    <w:p>
      <w:r>
        <w:t>в абзаце первом части 1 статьи 15 слова "в установленном им порядке раскрывать" заменить словами "раскрывать на своем официальном сайте в информационно-телекоммуникационной сети "Интернет"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