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2021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2021 год со следующими основными показателями</w:t>
      </w:r>
    </w:p>
    <w:p>
      <w:r>
        <w:t>общий объем доходов бюджета Фонда в сумме 2 631 385 434,6 тыс. рублей, в том числе за счет межбюджетных трансфертов, полученных из федерального бюджета в сумме 294 873 261,9 тыс. рублей</w:t>
      </w:r>
    </w:p>
    <w:p>
      <w:r>
        <w:t>общий объем расходов бюджета Фонда в сумме 2 569 533 773,6 тыс. рублей, в том числе межбюджетные трансферты, переданные бюджету Фонда социального страхования Российской Федерации в сумме 13 324 185,7 тыс. рублей</w:t>
      </w:r>
    </w:p>
    <w:p>
      <w:r>
        <w:t>объем профицита бюджета Фонда в сумме 61 851 661,0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2021 год</w:t>
      </w:r>
    </w:p>
    <w:p>
      <w:r>
        <w:t>доходы бюджета Фонда по кодам классификации доходов бюджетов за 2021 год согласно приложению 1 к настоящему Федеральному закону</w:t>
      </w:r>
    </w:p>
    <w:p>
      <w:r>
        <w:t>структура расходов бюджета Фонда за 2021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2021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2021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