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 28, ст. 2886; 2004, № 27, ст. 2711; № 31, ст. 3231; № 34, ст. 3522, 3524; № 45, ст. 4377; 2005, № 24, ст. 2312; № 30, ст. 3130; 2006, № 10, ст. 1065; № 23, ст. 2382; № 31, ст. 3436; № 45, ст. 4628; № 50, ст. 5279; 2007, № 21, ст. 2462; № 23, ст. 2691; № 31, ст. 3991; № 45, ст. 5417; 2008, № 30, ст. 3614, 3616; № 48, ст. 5504, 5519; № 52, ст. 6237; 2009, № 1, ст. 13; № 29, ст. 3598; № 48, ст. 5711, 5731, 5737; № 51, ст. 6155; № 52, ст. 6444, 6455; 2010, № 15, ст. 1737; № 25, ст. 3070; № 31, ст. 4198; № 32, ст. 4298; № 40, ст. 4969; № 45, ст. 5756; № 48, ст. 6247; № 49, ст. 6409; 2011, № 1, ст. 7; № 27, ст. 3881; № 29, ст. 4291; № 30, ст. 4583, 4593; № 45, ст. 6335; № 48, ст. 6731; № 49, ст. 7014, 7017, 7043; № 50, ст. 7359; 2012, № 31, ст. 4334; № 41, ст. 5526; № 49, ст. 6751; № 53, ст. 7596, 7619; 2013, № 19, ст. 2321; № 23, ст. 2889; № 30, ст. 4031, 4048; № 40, ст. 5037, 5038; № 44, ст. 5645; № 48, ст. 6165; № 52, ст. 6985; 2014, № 23, ст. 2938; № 30, ст. 4220; № 48, ст. 6647, 6657, 6660, 6661; 2015, № 1, ст. 17, 32; № 29, ст. 4340; № 48, ст. 6684, 6687, 6692; 2016, № 1, ст. 16; № 7, ст. 920; № 22, ст. 3092; № 23, ст. 3298; № 26, ст. 3856; № 27, ст. 4175, 4176; № 49, ст. 6844; № 52, ст. 7497; 2017, № 1, ст. 4, 16; № 11, ст. 1534; № 30, ст. 4441, 4448; № 40, ст. 5753; № 45, ст. 6579; № 47, ст. 6842; № 49, ст. 7307, 7315, 7318, 7320, 7325; 2018, № 1, ст. 20, 50; № 18, ст. 2565, 2568; № 24, ст. 3410; № 32, ст. 5087, 5090, 5093, 5094, 5095, 5096; № 45, ст. 6828, 6847; № 49, ст. 7496; № 53, ст. 8416, 8419; 2019, № 16, ст. 1826; № 30, ст. 4112, 4113, 4114; № 31, ст. 4428; № 39, ст. 5374, 5375; 2020, № 12, ст. 1657; № 13, ст. 1857; № 14, ст. 2032; № 29, ст. 4501, 4505, 4514; № 31, ст. 5024; № 48, ст. 7627; 2021, № 24, ст. 4214, 4216, 4217; № 27, ст. 5133, 5136; № 49, ст. 8145, 8146, 8147; 2022, № 9, ст. 1250; № 11, ст. 1597, 1600; № 13, ст. 1955, 1956, 1957; № 16, ст. 2598, 2599; № 18, ст. 3007; № 22, ст. 3535; Российская газета, 2022, 30 июня) следующие изменения</w:t>
      </w:r>
    </w:p>
    <w:p>
      <w:r>
        <w:t>в подпункте 26 пункта 2 статьи 149: а) абзац первый после слов "информационно-телекоммуникационную сеть" дополнить словами ", в том числе через информационно-телекоммуникационную сеть"; б) абзац второй изложить в следующей редакции: "Положения настоящего подпункта не применяются, если передаваемые права состоят в получении возможности распространять рекламную информацию в информационно-телекоммуникационной сети, в том числе в информационно-телекоммуникационной сети "Интернет", и (или) получать доступ к такой информации, размещать предложения (объявления) о приобретении (реализации) товаров (работ, услуг), имущественных прав в информационно-телекоммуникационной сети, в том числе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
        <w:t>пункт 2 статьи 2593 дополнить подпунктами 5 и 6 следующего содержания: "5) в отношении амортизируемых основных средств, включенных на дату их ввода в эксплуатацию в единый реестр российской радиоэлектронной продукции. Переходные ключи между кодами Общероссийского классификатора продукции по видам экономической деятельности, содержащимися в едином реестре российской радиоэлектронной продукции, и кодами Общероссийского классификатора основных фондов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инвестиционной деятельности</w:t>
      </w:r>
    </w:p>
    <w:p>
      <w:r>
        <w:t>в отношении нематериальных активов в виде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Положение настоящего подпункта не распространяется на нематериальные активы, срок полезного использования которых определен налогоплательщиком в порядке, установленном абзацем вторым пункта 2 статьи 258 настоящего Кодекса."</w:t>
      </w:r>
    </w:p>
    <w:p>
      <w:r>
        <w:t>пункт 115 статьи 284 изложить в следующей редакции: "115. Для российских организаций, осуществляющих деятельность в области информационных технологий, начиная с налогового периода получения документа о государственной аккредитации организации, осуществляющей деятельность в области информационных технологий, устанавливается налоговая ставка по налогу в размере 0 процентов в 2022 - 2024 годах. Порядок государственной аккредитации российских организаций, осуществляющих деятельность в области информационных технологий, устанавливается Правительством Российской Федерации по согласованию с высшим исполнительным органом власти субъекта Российской Федерации, осуществляющего функции столицы Российской Федерации. Указанная в настоящем пункте налоговая ставка применяется при условии, что по итогам отчетного (налогового)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в соответствии с настоящей главой, не менее 70 процентов составляют доходы: 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электронных вычислительных машин, баз данных (далее в настоящей статье - собственные программы для ЭВМ, базы данных); от передачи исключительных прав на собственные программы для ЭВМ, базы данных; 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сеть "Интернет"), если такие права состоят в получении возможности размещать предложения о приобретении (реализации) товаров (работ, услуг), имущественных прав в сети "Интернет", осуществлять поиск информации о потенциальных покупателях (продавцах) и (или) заключать сделки); 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организаций, оказывающих услуги в указанной сфере, и осуществить поиск этих предложений по заданным пользователем параметрам; в получении возможности размещать информацию об услугах общественного питания, предложение заключить договор о реализации определенного товара (блюда), изготовленного организацией, оказывающей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 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 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 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 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 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 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организаций, оказывающих услуги в указанной сфере, и осуществить поиск этих предложений по заданным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организацией, оказывающей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для целей передачи голосовой информации, предоставляемой оператором связи); 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 В случае, если по итогам налогового периода налогоплательщик не выполняет условие настоящего пункта, а также в случае лишения его государственной аккредитации такой налогоплательщик лишается права применять налоговую ставку, предусмотренную настоящим пунктом, с начала налогового периода, в котором допущено несоответствие указанному условию либо он лишен государственной аккредитации. Вне зависимости от выполнения иных условий, установленных настоящим пунктом, налоговая ставка, установленная настоящим пунктом, не подлежит применению: 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 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w:t>
      </w:r>
    </w:p>
    <w:p>
      <w:r>
        <w:t>в статье 427: а) подпункт 3 пункта 1 изложить в следующей редакции: "3) для российских организаций, осуществляющих деятельность в области информационных технологий;"; б) пункт 5 изложить в следующей редакции: "5. Для плательщиков, указанных в подпункте 3 пункта 1 настоящей статьи, условиями применения пониженных тарифов страховых взносов, предусмотренных подпунктом 11 пункта 2 настоящей статьи, являются: получение в установленном порядке документа о государственной аккредитации организации, осуществляющей деятельность в области информационных технологий,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 по итогам отчетного (расчетного)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 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ЭВМ, баз данных (далее в настоящей статье - собственные программы для ЭВМ, базы данных); от передачи исключительных прав на собственные программы для ЭВМ, базы данных; 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сеть "Интернет"), если такие права состоят в получении возможности размещать предложения о приобретении (реализации) товаров (работ, услуг), имущественных прав в сети "Интернет", осуществлять поиск информации о потенциальных покупателях (продавцах) и (или) заключать сделки); 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организаций, оказывающих услуги в указанной сфере, и осуществить поиск таких предложений по заданным пользователем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организацией, оказывающей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 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 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 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 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 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 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организаций, оказывающих услуги в указанной сфере и осуществить поиск таких предложений по заданным параметрам; в получении возможности разместить информацию об услугах общественного питания, заключить договор о реализации определенного товара (блюда), изготовленного организацией, оказывающей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 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 В случае, если по итогам расчетного периода данная организация не выполняет условие о доле доходов, установленное настоящим пунктом, а также в случае лишения ее государственной аккредитации либо статуса резидента технико-внедренческой особой экономической зоны или промышленно-производственной особой экономической зоны данная организация лишается права применять тарифы страховых взносов, предусмотренные подпунктом 11 пункта 2 настоящей статьи, с начала расчетного периода, в котором допущено несоответствие установленному условию, либо данная организация лишена государственной аккредитации, либо в реестр резидентов особой экономической зоны внесена запись о лишении данной организации статуса резидента технико-внедренческой особой экономической зоны или промышленно-производственной особой экономической зоны. Вне зависимости от выполнения иных условий, установленных настоящим пунктом, тарифы страховых взносов, установленные подпунктом 11 пункта 2 настоящей статьи, не подлежат применению: 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 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w:t>
      </w:r>
    </w:p>
    <w:p>
      <w:r>
        <w:rPr>
          <w:b/>
        </w:rPr>
        <w:t>Статья 2</w:t>
      </w:r>
    </w:p>
    <w:p>
      <w:r>
        <w:rPr>
          <w:b/>
        </w:rPr>
        <w:t xml:space="preserve">1. </w:t>
      </w:r>
      <w:r>
        <w:t>Установить, что в отчетных (расчетном) периодах 2022 года при определении суммы всех доходов организации, учитываемых при определении налоговой базы по налогу на прибыль организаций в соответствии с главой 25 Налогового кодекса Российской Федерации, в целях применения абзацев третьего - шестого и восьмого - шестнадцатого пункта 5 статьи 427 Налогового кодекса Российской Федерации (в редакции настоящего Федерального закона) не учитываются доходы от реализации или иного выбытия долей участия в уставном капитале организаций, если на дату реализации или иного выбытия они принадлежат налогоплательщику на праве собственности более одного года</w:t>
      </w:r>
    </w:p>
    <w:p>
      <w:r>
        <w:rPr>
          <w:b/>
        </w:rPr>
        <w:t xml:space="preserve">2. </w:t>
      </w:r>
      <w:r>
        <w:t>Плательщики, которые получили документ о государственной аккредитации организации, осуществляющей деятельность в области информационных технологий, и которые по итогам отчетных периодов - первого квартала и полугодия 2022 года с учетом положений части 1 настоящей статьи не выполняют условие о доле доходов, предусмотренное абзацами третьим - шестым и восьмым - шестнадцатым пункта 5 статьи 427 Налогового кодекса Российской Федерации (в редакции настоящего Федерального закона), вправе применять в период с 1 июля по 31 декабря 2022 года пониженные тарифы страховых взносов, предусмотренные подпунктом 11 пункта 2 статьи 427 Налогового кодекса Российской Федерации, при соблюдении условия о доле доходов, предусмотренного абзацами третьим - шестым и восьмым - шестнадцатым пункта 5 статьи 427 Налогового кодекса Российской Федерации (в редакции настоящего Федерального закона) с учетом положений части 1 настоящей статьи, по итогам периодов с 1 июля по 30 сентября 2022 года и с 1 июля по 31 декабря 2022 года</w:t>
      </w:r>
    </w:p>
    <w:p>
      <w:r>
        <w:rPr>
          <w:b/>
        </w:rPr>
        <w:t xml:space="preserve">3. </w:t>
      </w:r>
      <w:r>
        <w:t>Организации, получившие документ о государственной аккредитации организации, осуществляющей деятельность в области информационных технологий, до 1 июля 2022 года и применяющие в 2022 году налоговую ставку, установленную пунктом 115 статьи 284 Налогового кодекса Российской Федерации (в редакции, действовавшей до дня вступления в силу настоящего Федерального закона), в 2022 - 2024 годах вправе применять налоговую ставку, установленную пунктом 115 статьи 284 Налогового кодекса Российской Федерации (в редакции настоящего Федерального закона), при соответствии условиям, установленным указанным пунктом, без учета выполнения условий, предусмотренных абзацами девятнадцатым - двадцать первым пункта 115 статьи 284 Налогового кодекса Российской Федерации (в редакции настоящего Федерального закона)</w:t>
      </w:r>
    </w:p>
    <w:p>
      <w:r>
        <w:rPr>
          <w:b/>
        </w:rPr>
        <w:t xml:space="preserve">4. </w:t>
      </w:r>
      <w:r>
        <w:t>Организации, получившие документ о государственной аккредитации организации, осуществляющей деятельность в области информационных технологий, до 1 июля 2022 года и применяющие в 2022 году тарифы страховых взносов, установленные подпунктом 11 пункта 2 статьи 427 Налогового кодекса Российской Федерации, начиная с 1 января 2022 года вправе применять тарифы страховых взносов, установленные подпунктом 11 пункта 2 статьи 427 Налогового кодекса Российской Федерации, при соблюдении условий, установленных пунктом 5 статьи 427 Налогового кодекса Российской Федерации (в редакции настоящего Федерального закона), без учета выполнения условий, предусмотренных абзацами девятнадцатым - двадцать первым пункта 5 статьи 427 Налогового кодекса Российской Федерации (в редакции настоящего Федерального закона)</w:t>
      </w:r>
    </w:p>
    <w:p>
      <w:r>
        <w:rPr>
          <w:b/>
        </w:rPr>
        <w:t xml:space="preserve">5. </w:t>
      </w:r>
      <w:r>
        <w:t>Порядок государственной аккредитации организаций, осуществляющих деятельность в области информационных технологий, действующий на день вступления в силу настоящего Федерального закона, применяется до 1 августа 2022 года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 иной срок вступления их в силу</w:t>
      </w:r>
    </w:p>
    <w:p>
      <w:r>
        <w:rPr>
          <w:b/>
        </w:rPr>
        <w:t xml:space="preserve">2. </w:t>
      </w:r>
      <w:r>
        <w:t>Пункты 1 и 2, абзац восьмой пункта 3 и абзац восьмой подпункта "б" пункта 4 статьи 1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соответствующему налогу (расчетного периода по страховым взносам)</w:t>
      </w:r>
    </w:p>
    <w:p>
      <w:r>
        <w:rPr>
          <w:b/>
        </w:rPr>
        <w:t xml:space="preserve">3. </w:t>
      </w:r>
      <w:r>
        <w:t>Действие положений абзацев первого, третьего - шестого и восьмого - двадцать второго пункта 115 статьи 284, подпункта 3 пункта 1, абзацев первого - шестого и восьмого - двадцать второго пункта 5 статьи 427 Налогового кодекса Российской Федерации (в редакции настоящего Федерального закона) распространяется на правоотношения, возникшие с 1 января 2022 года с учетом особенностей, установленных статьей 2 настоящего Федерального закона</w:t>
      </w:r>
    </w:p>
    <w:p>
      <w:r>
        <w:rPr>
          <w:b/>
        </w:rPr>
        <w:t xml:space="preserve">4. </w:t>
      </w:r>
      <w:r>
        <w:t>Положения абзаца шестого пункта 115 статьи 284 и абзаца шестого пункта 5 статьи 427 Налогового кодекса Российской Федерации действуют до 31 декабря 2022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