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20 Федерального закона "Об объектах культурного наследия (памятниках истории и культуры) народов Российской Федерации"</w:t>
      </w:r>
    </w:p>
    <w:p>
      <w:r>
        <w:rPr>
          <w:b/>
        </w:rPr>
        <w:t>Статья 1</w:t>
      </w:r>
    </w:p>
    <w:p>
      <w:r>
        <w:t>Внести в абзац первый пункта 1 статьи 20 Федерального закона от 25 июня 2002 года № 73-ФЗ "Об объектах культурного наследия (памятниках истории и культуры) народов Российской Федерации" (Собрание законодательства Российской Федерации, 2002, № 26, ст. 2519; 2014, № 43, ст. 5799; 2016, № 27, ст. 4294; 2017, № 31, ст. 4771; 2018, № 32, ст. 5135; 2019, № 8, ст. 714; 2021, № 9, ст. 1468; № 27, ст. 5174) изменение, дополнив его словами ", исправление содержащейся в реестре ошибки, повлекшей повторный учет объекта культурного наследия в реестре".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ста восьмидесяти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