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12. Государственные программы Российской Федерации, государственные программы субъектов Российской Федерации, муниципальные программы в области сохранения, использования, популяризации и государственной охраны объектов культурного наследия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