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в части пенсионного обеспечения должностных лиц и сотрудников Евразийской экономической комиссии и Суда Евразийского экономического союза, являющихся гражданами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