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статьи 4 Федерального закона "О прожиточном минимуме в Российской Федерации"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2024 года действие абзацев первого и второго пункта 1 и абзаца первого пункта 2 статьи 4 Федерального закона от 24 октября 1997 года № 134-ФЗ "О прожиточном минимуме в Российской Федерации" (Собрание законодательства Российской Федерации, 1997, № 43, ст. 4904; 2004, № 35, ст. 3607; 2009, № 30, ст. 3739; 2012, № 50, ст. 6956; 2018, № 1, ст. 5; № 31, ст. 4861; 2019, № 14, ст. 1462; 2021, № 1, ст. 12)</w:t>
      </w:r>
    </w:p>
    <w:p>
      <w:r>
        <w:rPr>
          <w:b/>
        </w:rPr>
        <w:t xml:space="preserve">2. </w:t>
      </w:r>
      <w:r>
        <w:t>Величина прожиточного минимума в целом по Российской Федерации на душу населения и по основным социально-демографическим группам населения, в том числе для определения размера федеральной социальной доплаты к пенсии, предусмотренной Федеральным законом от 17 июля 1999 года № 178-ФЗ "О государственной социальной помощи", на 2023 и 2024 годы устанавливается федеральным законом о федеральном бюджете на соответствующий финансовый год и на плановый период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