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25-6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21, ст. 2524; № 31, ст. 4196; № 52, ст. 7000; 2011, № 13, ст. 1689; № 17, ст. 2321; 2012, № 47, ст. 6398; № 53, ст. 7628; 2013, № 27, ст. 3477; № 30, ст. 4036; № 52, ст. 6955; 2014, № 16, ст. 1828; № 19, ст. 2311; 2015, № 1, ст. 75; № 48, ст. 6709; 2016, № 28, ст. 4558; 2017, № 11, ст. 1537; № 24, ст. 3480; № 27, ст. 3928; № 50, ст. 7564; 2018, № 30, ст. 4537; 2019, № 25, ст. 3164; 2020, № 9, ст. 1122; № 15, ст. 2242; № 31, ст. 5064; 2021, № 22, ст. 3680; № 27, ст. 5098; 2022, № 29, ст. 5238, 5324) следующие изменения</w:t>
      </w:r>
    </w:p>
    <w:p>
      <w:r>
        <w:t>подпункт 6 части первой статьи 25 изложить в следующей редакции: "6) подтверждение о приеме иностранного туриста организацией, сведения о которой содержатся в едином федеральном реестре туроператоров, либо о бронировании места в гостинице или ином средстве размещения, сведения о которых содержатся в едином перечне классифицированных гостиниц, горнолыжных трасс, пляжей;"</w:t>
      </w:r>
    </w:p>
    <w:p>
      <w:r>
        <w:t>часть девятую статьи 256 изложить в следующей редакции: "Обыкновенная туристическая виза выдается на срок до шести месяцев иностранному гражданину, въезжающему в Российскую Федерацию в качестве туриста, на основании подтверждения о приеме организацией, сведения о которой содержатся в едином федеральном реестре туроператоров. Обыкновенная туристическая виза выдается на срок до шести месяцев на основании подтверждения о бронировании места в гостинице или ином средстве размещения, сведения о которых содержатся в едином перечне классифицированных гостиниц, горнолыжных трасс, пляжей, гражданам иностранных государств, перечень которых определяется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