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8 и 10 Федерального закона "О дополнительных мерах государственной поддержки семей, имеющих детей"</w:t>
      </w:r>
    </w:p>
    <w:p>
      <w:r>
        <w:rPr>
          <w:b/>
        </w:rPr>
        <w:t>Статья 1</w:t>
      </w:r>
    </w:p>
    <w:p>
      <w:r>
        <w:t>Внести в Федеральный закон от 29 декабря 2006 года № 256-ФЗ "О дополнительных мерах государственной поддержки семей, имеющих детей" (Собрание законодательства Российской Федерации, 2007, № 1, ст. 19; 2008, № 52, ст. 6243; 2010, № 31, ст. 4210; 2011, № 1, ст. 52; № 27, ст. 3880; 2012, № 31, ст. 4322; 2013, № 23, ст. 2886; 2014, № 26, ст. 3377; 2015, № 10, ст. 1424; № 21, ст. 2983; 2017, № 1, ст. 11; 2019, № 12, ст. 1227; № 26, ст. 3317; № 31, ст. 4442; 2020, № 9, ст. 1127; № 29, ст. 4512; № 52, ст. 8597; 2022, № 18, ст. 3002; № 29, ст. 5277) следующие изменения</w:t>
      </w:r>
    </w:p>
    <w:p>
      <w:r>
        <w:t>статью 8 дополнить частями 13-1 и 13-2 следующего содержания: "13-1. Пенсионный фонд Российской Федерации и его территориальные органы направляют в организации, имеющие право на оказание платных образовательных услуг, с которыми заключены соглашения об информационном взаимодействии, запросы о предоставлении сведений из договора об оказании платных образовательных услуг (договора об оказании платных образовательных услуг или заверенной указанной организацией копии данного договора), необходимых для вынесения решения об удовлетворении (отказе в удовлетворении) заявления о распоряжении при направлении средств (части средств) материнского (семейного) капитала на оплату платных образовательных услуг в случае, если лицо, получившее сертификат, не представило договор об оказании платных образовательных услуг (заверенную указанной организацией копию данного договора) самостоятельно. Типовая форма соглашения об информационном взаимодействии между организациями, указанными в настоящей части, и территориальными органами Пенсионного фонда Российской Федерации устанавливается Пенсионным фондом Российской Федерации. 13-2. Взаимодействие между организациями, указанными в части 13-1 настоящей статьи, и территориальными органами Пенсионного фонда Российской Федерации осуществляется путем обмена по защищенным каналам связи сведениями (информацией) в форме электронных документов и (или) электронных образов документов, подписанных усиленной квалифицированной электронной подписью в соответствии с законодательством Российской Федерации, либо с использованием единой системы межведомственного электронного взаимодействия."</w:t>
      </w:r>
    </w:p>
    <w:p>
      <w:r>
        <w:t>пункт 3 части 7 статьи 10 дополнить словами ", соответствующими требованиям, установленным нормативным актом Центрального банка Российской Федерации для предоставления займов, и включенными в перечень таких кооперативов, который размещается на официальном сайте Центрального банка Российской Федерации в информационно-телекоммуникационной сети "Интернет"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пункта 2 статьи 1 настоящего Федерального закона</w:t>
      </w:r>
    </w:p>
    <w:p>
      <w:r>
        <w:rPr>
          <w:b/>
        </w:rPr>
        <w:t xml:space="preserve">2. </w:t>
      </w:r>
      <w:r>
        <w:t>Пункт 2 статьи 1 настоящего Федерального закона вступает в силу с 1 апреля 2023 года</w:t>
      </w:r>
    </w:p>
    <w:p>
      <w:r>
        <w:rPr>
          <w:b/>
        </w:rPr>
        <w:t xml:space="preserve">3. </w:t>
      </w:r>
      <w:r>
        <w:t>Действие положений пункта 3 части 7 статьи 10 Федерального закона от 29 декабря 2006 года № 256-ФЗ "О дополнительных мерах государственной поддержки семей, имеющих детей" (в редакции настоящего Федерального закона) не распространяется на договоры займа на приобретение (строительство) жилого помещения, заключенные с кредитным потребительским кооперативом или сельскохозяйственным кредитным потребительским кооперативом до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