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внутренних морских водах, территориальном море и прилежащей зоне Российской Федерации"</w:t>
      </w:r>
    </w:p>
    <w:p>
      <w:r>
        <w:rPr>
          <w:b/>
        </w:rPr>
        <w:t>Статья None. Федеральный закон   от 05.12.2022 № 510-ФЗ</w:t>
      </w:r>
    </w:p>
    <w:p>
      <w:r>
        <w:t>О внесении изменений в Федеральный закон "О внутренних морских водах, территориальном море и прилежащей зоне Российской Федерации" РОССИЙСКАЯ ФЕДЕРАЦИЯ ФЕДЕРАЛЬНЫЙ ЗАКОН О внесении изменений в Федеральный закон "О внутренних морских водах, территориальном море и прилежащей зоне Российской Федерации" Принят Государственной Думой 16 ноября 2022 года Одобрен Советом Федерации 30 ноября 2022 года Внести в Федеральный закон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2003, № 27, ст. 2700; 2004, № 35, ст. 3607) следующие изменения: 1) пункт 2 статьи 12 дополнить словами "либо после передачи навигационного предупреждения"; 2) дополнить статьей 14 3 следующего содержания: "Статья 14 3 . Заход иностранных военных кораблей и других государственных судов во внутренние морские воды в акватории Северного морского пути 1. Иностранные военные корабли и другие государственные суда могут заходить во внутренние морские воды в акватории Северного морского пути без цели захода в морской порт, военно-морскую базу или пункт базирования военных кораблей по разрешению, запрашиваемому по дипломатическим каналам не позднее чем за 90 дней до предполагаемого захода. Заход иностранных военных кораблей и других государственных судов во внутренние морские воды в акватории Северного морского пути без цели захода в морской порт, военно-морскую базу или пункт базирования военных кораблей должен осуществляться в соответствии с установленным маршрутом и иными параметрами и условиями для прохода судов (включая условие об обязательной лоцманской проводке), указанными в разрешении, предусмотренном абзацем первым настоящего пункта. Форма запроса на получение предусмотренного абзацем первым настоящего пункта разрешения, условия и порядок его выдачи, порядок принятия специального решения Правительства Российской Федерации, предусмотренного пунктом 3 настоящей статьи, устанавливаются Правительством Российской Федерации и публикуются в "Извещениях мореплавателям".</w:t>
      </w:r>
    </w:p>
    <w:p>
      <w:r>
        <w:rPr>
          <w:b/>
        </w:rPr>
        <w:t xml:space="preserve">2. </w:t>
      </w:r>
      <w:r>
        <w:t>Иностранные военные корабли и другие государственные суда, осуществляя заход во внутренние морские воды в акватории Северного морского пути без цели захода в морской порт, военно-морскую базу или пункт базирования военных кораблей, должны соблюдать законодательство Российской Федерации и правила в отношении: безопасности судоходства и регулирования движения судов, включая пользование морскими коридорами и схемами разделения движения; защиты навигационных средств и оборудования, а также других сооружений или установок; защиты подводных кабелей и трубопроводов; сохранения водных биологических ресурсов; охраны окружающей среды; морских научных исследований и гидрографических съемок; предотвращения нарушения пограничных, таможенных, налоговых (фискальных), санитарных, иммиграционных, ветеринарных, фитосанитарных, навигационных и других правил, установленных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3. </w:t>
      </w:r>
      <w:r>
        <w:t>Не более одного иностранного военного корабля или другого государственного судна, если иное не предусмотрено специальным решением Правительства Российской Федерации, может находиться во внутренних морских водах в акватории Северного морского пути без цели захода в морской порт, военно-морскую базу или пункт базирования военных кораблей</w:t>
      </w:r>
    </w:p>
    <w:p>
      <w:r>
        <w:rPr>
          <w:b/>
        </w:rPr>
        <w:t xml:space="preserve">4. </w:t>
      </w:r>
      <w:r>
        <w:t>Во время захода во внутренние морские воды в акватории Северного морского пути без цели захода в морской порт, военно-морскую базу или пункт базирования военных кораблей иностранные подводные лодки и другие подводные транспортные средства должны следовать на поверхности и под своим флагом</w:t>
      </w:r>
    </w:p>
    <w:p>
      <w:r>
        <w:rPr>
          <w:b/>
        </w:rPr>
        <w:t xml:space="preserve">5. </w:t>
      </w:r>
      <w:r>
        <w:t>Иностранные военные корабли и другие государственные суда с ядерными двигателями, а также иностранные суда, перевозящие ядерные или другие опасные или ядовитые по своей природе вещества или материалы, во время захода во внутренние морские воды в акватории Северного морского пути без цели захода в морской порт, военно-морскую базу или пункт базирования военных кораблей должны иметь на борту необходимые документы, соблюдать особые меры предосторожности, установленные для таких судов международными договорами Российской Федерации, и следовать по установленному маршруту, указанному в разрешении, предусмотренном пунктом 1 настоящей статьи</w:t>
      </w:r>
    </w:p>
    <w:p>
      <w:r>
        <w:rPr>
          <w:b/>
        </w:rPr>
        <w:t xml:space="preserve">6. </w:t>
      </w:r>
      <w:r>
        <w:t>В интересах обеспечения безопасности Российской Федерации федеральный орган исполнительной власти по обороне и федеральный орган исполнительной власти по безопасности могут приостановить заход иностранных военных кораблей и других государственных судов во внутренние морские воды в акватории Северного морского пути на определенный срок. Такое приостановление вступает в силу после передачи об этом в навигационном предупреждении. В случае, если иностранный военный корабль или другое государственное судно уже осуществили заход во внутренние морские воды в акватории Северного морского пути, в навигационном предупреждении передается информация о дальнейших действиях таких иностранного военного корабля или другого государственного судна.";</w:t>
      </w:r>
    </w:p>
    <w:p>
      <w:r>
        <w:rPr>
          <w:b/>
        </w:rPr>
        <w:t xml:space="preserve">6. </w:t>
      </w:r>
      <w:r>
        <w:t>в статье 19:</w:t>
      </w:r>
    </w:p>
    <w:p>
      <w:r>
        <w:rPr>
          <w:b/>
        </w:rPr>
        <w:t xml:space="preserve">6. </w:t>
      </w:r>
      <w:r>
        <w:t>наименование после слова "кораблей" дополнить словами "и других государственных судов"</w:t>
      </w:r>
    </w:p>
    <w:p>
      <w:r>
        <w:rPr>
          <w:b/>
        </w:rPr>
        <w:t xml:space="preserve">6. </w:t>
      </w:r>
      <w:r>
        <w:t>пункт 1 после слова "корабль" дополнить словами "или другое государственное судно", после слова "корабля" дополнить словами "или другого государственного судна"</w:t>
      </w:r>
    </w:p>
    <w:p>
      <w:r>
        <w:rPr>
          <w:b/>
        </w:rPr>
        <w:t xml:space="preserve">6. </w:t>
      </w:r>
      <w:r>
        <w:t>пункт 2 после слова "корабля" дополнить словами "или капитаном другого государственного судна"</w:t>
      </w:r>
    </w:p>
    <w:p>
      <w:r>
        <w:rPr>
          <w:b/>
        </w:rPr>
        <w:t xml:space="preserve">6. </w:t>
      </w:r>
      <w:r>
        <w:t>пункт 3 после слова "кораблем" дополнить словами "или другим государственным судном". Президент Российской Федерации В.Путин Москва, Кремль 5 декабря 2022 года № 510-ФЗ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