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11.61. Несоблюдение требования о направлении капитану морского порта сообщения о затонувшем имуществе,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имущества, сроков разработки документации по удалению затонувшего имущества и сроков начала удаления затонувшего имущества "Статья 11.62. Захоронение либо умышленное затопление морского судна или судна внутреннего плавания "Статья 11.63. Несоблюдение требования о страховании или об ином финансовом обеспечении ответственности за удаление затонувшего судна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