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"Об основах социального обслуживания граждан в Российской Федерации"</w:t>
      </w:r>
    </w:p>
    <w:p>
      <w:r>
        <w:rPr>
          <w:b/>
        </w:rPr>
        <w:t>Статья 1</w:t>
      </w:r>
    </w:p>
    <w:p>
      <w:r>
        <w:t>Внести в часть 1 статьи 31 Федерального закона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7007) изменения, дополнив ее пунктами 3 - 8 следующего содержания: "3) инвалидам Великой Отечественной войны;</w:t>
      </w:r>
    </w:p>
    <w:p>
      <w:r>
        <w:t>участникам Великой Отечественной войны</w:t>
      </w:r>
    </w:p>
    <w:p>
      <w:r>
        <w:t>инвалидам боевых действий</w:t>
      </w:r>
    </w:p>
    <w:p>
      <w:r>
        <w:t>лицам, награжденным знаком "Жителю блокадного Ленинграда"</w:t>
      </w:r>
    </w:p>
    <w:p>
      <w:r>
        <w:t>лицам, награжденным знаком "Житель осажденного Севастополя"</w:t>
      </w:r>
    </w:p>
    <w:p>
      <w:r>
        <w:t>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