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149 части второй Налогового кодекса Российской Федерации и о признании утратившей силу части 6 статьи 2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3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1597; № 16, ст. 2598, 2599; № 29, ст. 5288, 5290, 5291; № 45, ст. 7676; № 48, ст. 8310) следующие изменения</w:t>
      </w:r>
    </w:p>
    <w:p>
      <w:r>
        <w:t>подпункт 9 изложить в следующей редакции: "9) реализация руды, концентратов и других промышленных продуктов, содержащих драгоценные металлы, лома и отходов драгоценных металлов для производства драгоценных металлов и аффинажа; реализация драгоценных металлов налогоплательщиками (за исключением указанных в подпункте 6 пункта 1 статьи 164 настоящего Кодекса)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Федерации, организации, изготавливающей банкноты и монету Банка России, и банкам; реализация драгоценных металлов из Государственного фонда драгоценных металлов и драгоценных камней Российской Федерации, из фондов драгоценных металлов и драгоценных камней субъектов Российской Федерации специализированным внешнеэкономическим организациям, Центральному банку Российской Федерации и банкам; реализация драгоценных металлов в слитках Центральным банком Российской Федерации и банками Центральному банку Российской Федерации, банкам и организации, изготавливающей банкноты и монету Банка России, в том числе по договорам поручения, комиссии либо агентским договорам с Центральным банком Российской Федерации и банками, независимо от помещения этих слитков в хранилище Центрального банка Российской Федерации или хранилища банков; реализация драгоценных металлов в слитках банками, аффинажными организациями, имеющими право осуществлять аффинаж драгоценных металлов, организацией, изготавливающей банкноты и монету Банка России, физическим лицам независимо от помещения этих слитков в хранилища банков, а также реализация драгоценных металлов в слитках Центральным банком Российской Федерации и банками иным лицам при условии, что эти слитки остаются в одном из хранилищ (Государственном хранилище ценностей, хранилище Центрального банка Российской Федерации или хранилищах банков);"</w:t>
      </w:r>
    </w:p>
    <w:p>
      <w:r>
        <w:t>дополнить подпунктом 91 следующего содержания: "91) реализация драгоценных камней налогоплательщиками (за исключением указанных в подпункте 61 пункта 1 статьи 164 настоящего Кодекса) Государственному фонду драгоценных металлов и драгоценных камней Российской Федерации, фондам драгоценных металлов и драгоценных камней субъектов Российской Федерации, Центральному банку Российской Федерации и банкам; реализация необработанных драгоценных камней (за исключением необработанных природных алмазов) для обработки предприятиям независимо от форм собственности для последующей продажи на экспорт; реализация драгоценных камней в сырье и ограненных (за исключением указанных в подпункте 61 пункта 1 статьи 164 настоящего Кодекса) специализированным внешнеэкономическим организациям; реализация обработанных природных алмазов Центральным банком Российской Федерации и банками Центральному банку Российской Федерации и банкам, в том числе по договорам поручения, комиссии либо агентским договорам с Центральным банком Российской Федерации и банками, независимо от помещения этих обработанных природных алмазов в хранилище Центрального банка Российской Федерации или хранилища банков; реализация обработанных природных алмазов банками физическим лицам независимо от помещения этих обработанных природных алмазов в хранилища банков;"</w:t>
      </w:r>
    </w:p>
    <w:p>
      <w:r>
        <w:rPr>
          <w:b/>
        </w:rPr>
        <w:t>Статья 2</w:t>
      </w:r>
    </w:p>
    <w:p>
      <w:r>
        <w:t>Признать утратившей силу часть 6 статьи 2 Федерального закона от 14 июля 2022 года № 323-ФЗ "О внесении изменений в часть вторую Налогового кодекса Российской Федерации" (Собрание законодательства Российской Федерации, 2022, № 29, ст. 5290).</w:t>
      </w:r>
    </w:p>
    <w:p>
      <w:r>
        <w:rPr>
          <w:b/>
        </w:rPr>
        <w:t>Статья 3</w:t>
      </w:r>
    </w:p>
    <w:p>
      <w:r>
        <w:t>(Статья утратила силу - Федеральный закон от 27.11.2023 № 539-ФЗ)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