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</w:t>
      </w:r>
    </w:p>
    <w:p>
      <w:r>
        <w:rPr>
          <w:b/>
        </w:rPr>
        <w:t>Статья 1</w:t>
      </w:r>
    </w:p>
    <w:p>
      <w:r>
        <w:t>Внести в Уголовно-процессуальный кодекс Российской Федерации (Собрание законодательства Российской Федерации, 2001, № 52, ст. 4921; 2002, № 22, ст. 2027; 2003, № 27, ст. 2706; № 50, ст. 4847; 2006, № 31, ст. 3452; 2007, № 24, ст. 2830; 2010, № 17, ст. 1985; 2011, № 29, ст. 4286; № 50, ст. 7350; 2012, № 31, ст. 4332; № 49, ст. 6752; 2013, № 9, ст. 875; № 30, ст. 4028; № 52, ст. 6997; 2014, № 26, ст. 3385; № 30, ст. 4246; 2015, № 1, ст. 47, 83; № 10, ст. 1410; № 27, ст. 3981; 2017, № 14, ст. 2010; 2018, № 1, ст. 52; 2022, № 29, ст. 5313) следующие изменения</w:t>
      </w:r>
    </w:p>
    <w:p>
      <w:r>
        <w:t>часть четвертую статьи 81 дополнить предложением следующего содержания: "Учет и хранение указанных предметов и документов до признания их вещественными доказательствами или до их возврата лицам, у которых они были изъяты, осуществляются в порядке, установленном Правительством Российской Федерации."</w:t>
      </w:r>
    </w:p>
    <w:p>
      <w:r>
        <w:t>подпункт "а" пункта 4 части второй статьи 82 изложить в следующей редакции: "а) сдаются на хранение в финансовое подразделение органа, принявшего решение об изъятии указанных вещественных доказательств, или специально выделенное таким органом помещение, обеспечивающее сохранность и надлежащие условия хранения ценностей, либо в банк или иную кредитную организацию на срок, предусмотренный частью первой настоящей статьи, за исключением случая, предусмотренного подпунктом "б" настоящего пункта;"</w:t>
      </w:r>
    </w:p>
    <w:p>
      <w:r>
        <w:t>часть шестую статьи 115 дополнить предложением следующего содержания: "Арестованное имущество подлежит учету и хранению в порядке, установленном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