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рыболовстве и сохранении водных биологических ресурсов"</w:t>
      </w:r>
    </w:p>
    <w:p>
      <w:r>
        <w:rPr>
          <w:b/>
        </w:rPr>
        <w:t>Статья None. ФЕДЕРАЛЬНЫЙ ЗАКОН</w:t>
      </w:r>
    </w:p>
    <w:p>
      <w:r>
        <w:t>РОССИЙСКАЯ ФЕДЕРАЦИЯ Статья 1 "Статья 293. Добыча (вылов) водных биоресурсов, за исключением крабов, в инвестиционных целях "Статья 294. Добыча (вылов) крабов в инвестиционных целях "Статья 311. Распределение объема общего допустимого улова водных биоресурсов применительно к квоте добычи (вылова) водных биоресурсов в морских водах или к международной квоте, предоставленной Российской Федерации, между лицами, с которыми заключены договоры о закреплении доли квоты добычи (вылова) водных биоресурсов в морских водах или договоры о закреплении доли международной квоты, предоставленной Российской Федерации "Статья 338. Договор о закреплении и предоставлении доли квоты добычи (вылова) крабов в инвестиционных целях Статья 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