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2013, № 30, ст. 4034; 2020, № 8, ст. 920; 2021, № 24, ст. 4182) следующие изменения</w:t>
      </w:r>
    </w:p>
    <w:p>
      <w:r>
        <w:t>в части 1 статьи 29 слова "и юридическим лицам" исключить</w:t>
      </w:r>
    </w:p>
    <w:p>
      <w:r>
        <w:t>в пункте 3 части 3 статьи 371 слова "на право заключения охотхозяйственного соглашения" исключить</w:t>
      </w:r>
    </w:p>
    <w:p>
      <w:r>
        <w:t>часть 5 статьи 49 признать утратившей силу</w:t>
      </w:r>
    </w:p>
    <w:p>
      <w:r>
        <w:t>часть 4 статьи 50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