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абзаца второго пункта 1 статьи 30 Кодекса внутреннего водного транспорта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