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части третьей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ноября 2001 года № 147-ФЗ "О введении в действие части третьей Гражданского кодекса Российской Федерации" (Собрание законодательства Российской Федерации, 2001, № 49, ст. 4553) изменение, дополнив его статьей 14 следующего содержания: "Статья 14. Положения статьи 1113 Гражданского кодекса Российской Федерации об открытии наследства лиц, указанных в пункте 1 статьи 23 Федерального закона от 30 ноября 1994 года № 52-ФЗ "О введении в действие части первой Гражданского кодекса Российской Федерации", применяются с учетом особенностей, предусмотренных настоящей статьей. Наследство лиц, указанных в пункте 1 статьи 23 Федерального закона от 30 ноября 1994 года № 52-ФЗ "О введении в действие части первой Гражданского кодекса Российской Федерации", открывается с даты составления записи акта гражданского состояния о смерти указанных лиц, если в соответствии с документом установленной формы о смерти, выдаваемом в порядке, по форме и в сроки, которые определяются Правительством Российской Федерации, или документом о смерти, выдаваемом в порядке и по форме,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дата смерти указанных лиц неизвестна либо отличается от даты составления таких документов более чем на три месяца. Принятое наследство с датой открытия, определенной в соответствии с настоящей статьей, признается принадлежащим наследнику со дня смерти наследодателя.".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15 июля 2025 года</w:t>
      </w:r>
    </w:p>
    <w:p>
      <w:r>
        <w:rPr>
          <w:b/>
        </w:rPr>
        <w:t xml:space="preserve">2. </w:t>
      </w:r>
      <w:r>
        <w:t>Положения статьи 14 Федерального закона от 26 ноября 2001 года № 147-ФЗ "О введении в действие части третьей Гражданского кодекса Российской Федерации" применяются к ранее возникшим отношениям по наследованию при условии, что наследство открыто 1 января 2025 года и позднее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