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навигационной деятельности"</w:t>
      </w:r>
    </w:p>
    <w:p>
      <w:r>
        <w:rPr>
          <w:b/>
        </w:rPr>
        <w:t>Статья 1</w:t>
      </w:r>
    </w:p>
    <w:p>
      <w:r>
        <w:t>Внести в Федеральный закон от 14 февраля 2009 года № 22-ФЗ "О навигационной деятельности" (Собрание законодательства Российской Федерации, 2009, № 7, ст. 790; 2014, № 14, ст. 1552) следующие изменения: 1) в части 2 статьи 1 слова "и навигационных карт для автомобильных дорог" заменить словами ", навигационных карт для автомобильных дорог и морских навигационных пособий"; 2) статью 2 дополнить пунктом 8 следующего содержания: "8) морские навигационные пособия - официальные издания для мореплавателей, содержащие лоции, описания маяков и огней, извещения мореплавателям, таблицы приливов, и иные документы, необходимые для планирования и отображения (нанесения) на карте маршрута следования судна в предполагаемом рейсе, контроля местоположения судна в течение всего рейса."; 3) дополнить статьей 103 следующего содержания: "Статья 103. Морские навигационные пособия 1. Создание и обновление морских навигационных пособий осуществляются 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 в области обороны, в том числе с использованием сведений единой электронной картографической основы, а также пространственных данных и материалов, содержащихся в федеральном фонде пространственных данных.</w:t>
      </w:r>
    </w:p>
    <w:p>
      <w:r>
        <w:rPr>
          <w:b/>
        </w:rPr>
        <w:t xml:space="preserve">2. </w:t>
      </w:r>
      <w:r>
        <w:t>Состав и содержание документов, включаемых в морские навигационные пособия, устанавливаются 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 в области обороны, по согласованию с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морского транспорта, и Государственной корпорацией по атомной энергии "Росатом"</w:t>
      </w:r>
    </w:p>
    <w:p>
      <w:r>
        <w:rPr>
          <w:b/>
        </w:rPr>
        <w:t xml:space="preserve">3. </w:t>
      </w:r>
      <w:r>
        <w:t>Исключительные права на морские навигационные пособия принадлежат Российской Федерации, если иное не предусмотрено федеральными законами</w:t>
      </w:r>
    </w:p>
    <w:p>
      <w:r>
        <w:rPr>
          <w:b/>
        </w:rPr>
        <w:t xml:space="preserve">4. </w:t>
      </w:r>
      <w:r>
        <w:t>Право на использование морских навигационных пособий от имени Российской Федерации предоставляет 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 в области обороны, или подведомственные ему федеральные государственные учреждения</w:t>
      </w:r>
    </w:p>
    <w:p>
      <w:r>
        <w:rPr>
          <w:b/>
        </w:rPr>
        <w:t xml:space="preserve">5. </w:t>
      </w:r>
      <w:r>
        <w:t>Право на использование морских навигационных пособий предоставляется</w:t>
      </w:r>
    </w:p>
    <w:p>
      <w:r>
        <w:rPr>
          <w:b/>
        </w:rPr>
        <w:t xml:space="preserve">6. </w:t>
      </w:r>
      <w:r>
        <w:t>Порядок предоставления права на использование морских навигационных пособий устанавливается 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 в области обороны."</w:t>
      </w:r>
    </w:p>
    <w:p>
      <w:r>
        <w:rPr>
          <w:b/>
        </w:rPr>
        <w:t xml:space="preserve">5. </w:t>
      </w:r>
      <w:r>
        <w:t>органам государственной власти, органам местного самоуправления, Государственной корпорации по космической деятельности "Роскосмос" и Государственной корпорации по атомной энергии "Росатом" на безвозмездной основе</w:t>
      </w:r>
    </w:p>
    <w:p>
      <w:r>
        <w:rPr>
          <w:b/>
        </w:rPr>
        <w:t xml:space="preserve">5. </w:t>
      </w:r>
      <w:r>
        <w:t>физическим и юридическим лицам, за исключением Государственной корпорации по космической деятельности "Роскосмос" и Государственной корпорации по атомной энергии "Росатом", за вознаграждение, порядок определения размера которого устанавливается Правительством Российской Федерации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