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40 и 41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2011, № 7, ст. 901; 2015, № 29, ст. 4350; 2020, № 42, ст. 6513) следующие изменения</w:t>
      </w:r>
    </w:p>
    <w:p>
      <w:r>
        <w:t>абзац первый части 12 статьи 40 после слов "автомобильных дорог" дополнить словами ", предоставления льготного проезда по таким дорогам, таким участкам или проезда по таким дорогам, таким участкам без взимания платы", после слов "участкам таких дорог" дополнить словами ", предоставления льготного проезда по таким дорогам, таким участкам или проезда по таким дорогам, таким участкам без взимания платы"</w:t>
      </w:r>
    </w:p>
    <w:p>
      <w:r>
        <w:t>часть 1 статьи 41 дополнить пунктом 31 следующего содержания: "31) школьные автобусы и автобусы, осуществляющие организованную перевозку группы детей;"</w:t>
      </w:r>
    </w:p>
    <w:p>
      <w:r>
        <w:rPr>
          <w:b/>
        </w:rPr>
        <w:t>Статья 2</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