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 Федерального закона "О почтовой связи"</w:t>
      </w:r>
    </w:p>
    <w:p>
      <w:r>
        <w:rPr>
          <w:b/>
        </w:rPr>
        <w:t>Статья 1</w:t>
      </w:r>
    </w:p>
    <w:p>
      <w:r>
        <w:t>Внести в часть вторую статьи 11 Федерального закона от 17 июля 1999 года № 176-ФЗ "О почтовой связи" (Собрание законодательства Российской Федерации, 1999, № 29, ст. 3697; 2004, № 35, ст. 3607) изменение, изложив ее в следующей редакции: "Федеральные органы исполнительной власти в области связи: наделяются исключительными правами на издание и распространение государственных знаков почтовой оплаты, а также на изготовление именных вещей для организаций федеральной почтовой связи; обеспечивают организацию издания и распространения государственных знаков почтовой оплаты, формирования Государственной коллекции знаков почтовой оплаты, присвоения почтовых индексов объектам почтовой связи на территории Российской Федерации, изготовления и использования именных вещей для организаций федеральной почтовой связи; осуществляют выдачу разрешений на применение франкировальных машин и определяют порядок их использования.".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