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отдельные законодательные акты Российской Федерации и признании утратившими силу отдельных положений статьи 18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2009, № 29, ст. 3582; 2010, № 45, ст. 5753; 2011, № 15, ст. 2041; № 17, ст. 2310; № 30, ст. 4590; 2015, № 29, ст. 4359, 4374; № 48, ст. 6723; 2016, № 1, ст. 74; № 7, ст. 914; № 27, ст. 4190; 2019, № 31, ст. 4429; 2020, № 9, ст. 1131; № 30, ст. 4765; № 42, ст. 6513; 2021, № 24, ст. 4188; № 27, ст. 5164; 2022, № 10, ст. 1396; № 16, ст. 2594) следующие изменения: 1) в статье 3: а) в пункте 17 слова "которые устанавливаются Правительством Российской Федерации" заменить словами "установленные Правительством Российской Федерации, или массу транспортного средства и (или) нагрузку на ось, установленные решением о временном ограничении движения транспортных средств, принимаемым на основании пункта 2 части 1 статьи 30 настоящего Федерального закона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 б) пункт 18 дополнить словами ", или габариты, установленные решением о временном ограничении движения транспортных средств, принимаемым на основании пункта 2 части 1 статьи 30 настоящего Федерального закона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 в) дополнить пунктами 26 и 27 следующего содержания: "26) проект организации дорожного движения для маршрута или участка маршрута движения тяжеловесного и (или) крупногабаритного транспортного средства - документация, предусматривающая проведение мероприятий по организации дорожного движения для маршрута или участка маршрута движения тяжеловесного и (или) крупногабаритного транспортного средства в случае, предусмотренном частью 15 статьи 31 настоящего Федерального закона; 27) габарит приближения - предельное поперечное очертание свободного пространства в плоскости, перпендикулярной продольной оси проезжей части автомобильной дороги, внутрь которого не должны заходить какие-либо элементы сооружений или расположенных на них устройств."; 2) в статье 11: а) пункт 11 признать утратившим силу; б) пункт 12 изложить в следующей редакции: "12) определение размера платы в счет возмещения вреда, причиняемого тяжеловесным транспортным средством автомобильным дорогам;"; в) дополнить пунктом 121 следующего содержания: "121) утверждение нормативов финансовых затрат на обеспечение эксплуатации и развития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и на реализацию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 ему учреждением, действующим от имени Российской Федерации, уполномоченным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в соответствии с частью 7 статьи 31 настоящего Федерального закона, полномочий по выдаче специальных разрешений на движение по автомобильным дорогам тяжеловесного и (или) крупногабаритного транспортного средства, а также правил расчета размера бюджетных ассигнований федерального бюджета на указанные цели;"; г) пункт 131 признать утратившим силу; д) в пункте 133 слова "тяжеловесных и (или) крупногабаритных транспортных средств, а также" исключить; 3) в статье 111 слова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4) пункт 7 статьи 12 признать утратившим силу; 5) пункт 7 части 1 статьи 13 признать утратившим силу; 6) в главе 5: а) пункт 3 части 1 статьи 29 изложить в следующей редакции: "3) осуществлять движение по автомобильным дорогам на тяжеловесных транспортных средствах, осуществляющих перевозки грузов, не являющихся неделимыми, за исключением движения на тяжеловесных транспортных средствах при международной перевозке товаров в контейнере в соответствии с таможенной процедурой таможенного транзита разными видами транспорта, а также на тяжеловесных транспортных средствах, масса которых с грузом или без груза и (или) нагрузка на ось которых не более чем на десять процентов превышают допустимую массу транспортного средства и (или) допустимую нагрузку на ось;"; б) статью 31 изложить в следующей редакции: "Статья 31. Движение по автомобильным дорогам тяжеловесного и (или) крупногабаритного транспортного средства 1. Движение по автомобильным дорогам крупногабаритного транспортного средства,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разрешения, выдаваемого в соответствии с положениями настоящей статьи.</w:t>
      </w:r>
    </w:p>
    <w:p>
      <w:r>
        <w:rPr>
          <w:b/>
        </w:rPr>
        <w:t xml:space="preserve">2. </w:t>
      </w:r>
      <w:r>
        <w:t>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десять процентов превышают допустимую массу транспортного средства и (или) допустимую нагрузку на ось, в том числе при международной перевозке товаров в контейнере в соответствии с таможенной процедурой таможенного транзита разными видами транспорта,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разрешения, выдаваемого в соответствии с положениями настоящей статьи</w:t>
      </w:r>
    </w:p>
    <w:p>
      <w:r>
        <w:rPr>
          <w:b/>
        </w:rPr>
        <w:t xml:space="preserve">3. </w:t>
      </w:r>
      <w:r>
        <w:t>Движение по автомобильным дорогам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осуществляется без специальных разрешений и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Порядок указанного взаимодействия устанавливается Правительством Российской Федерации</w:t>
      </w:r>
    </w:p>
    <w:p>
      <w:r>
        <w:rPr>
          <w:b/>
        </w:rPr>
        <w:t xml:space="preserve">4. </w:t>
      </w:r>
      <w:r>
        <w:t>Движение по автомобильным дорогам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осуществляется без специальных разрешений и организуется в порядке, установленном Правительством Российской Федерации</w:t>
      </w:r>
    </w:p>
    <w:p>
      <w:r>
        <w:rPr>
          <w:b/>
        </w:rPr>
        <w:t xml:space="preserve">5. </w:t>
      </w:r>
      <w:r>
        <w:t>Требования к организации движения по автомобильным дорогам тяжеловесного и (или) крупногабаритного транспортного средства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Такими требованиями в том числе устанавливаются правила разработки, оформления и утверждения проекта организации дорожного движения для маршрута или участка маршрута движения тяжеловесного и (или) крупногабаритного транспортного средства, а также состав указанного проекта</w:t>
      </w:r>
    </w:p>
    <w:p>
      <w:r>
        <w:rPr>
          <w:b/>
        </w:rPr>
        <w:t xml:space="preserve">6. </w:t>
      </w:r>
      <w:r>
        <w:t>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w:t>
      </w:r>
    </w:p>
    <w:p>
      <w:r>
        <w:rPr>
          <w:b/>
        </w:rPr>
        <w:t xml:space="preserve">7. </w:t>
      </w:r>
      <w:r>
        <w:t>Выдача специального разрешения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 ему учреждением, действующим от имени Российской Федерации, уполномоченным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(далее в настоящей статье - уполномоченный орган)</w:t>
      </w:r>
    </w:p>
    <w:p>
      <w:r>
        <w:rPr>
          <w:b/>
        </w:rPr>
        <w:t xml:space="preserve">8. </w:t>
      </w:r>
      <w:r>
        <w:t>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части 6 настоящей статьи, и необходимые для получения специального разрешения, подаются физическими лицами, в том числе индивидуальными предпринимателями, юридическими лицами (далее в настоящей статье - заявитель) в уполномоченный орган по выбору заявителя с использованием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или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9. </w:t>
      </w:r>
      <w:r>
        <w:t>Если предполагаемый маршрут движения тяжеловесного и (или) крупногабаритного транспортного средства проходит в границах муниципального района и не проходит по автомобильным дорогам федерального, регионального или межмуниципального значения, участкам указанных автомобильных дорог при условии закрепления законом субъекта Российской Федерации за соответствующим органом местного самоуправления муниципального района вопроса осуществления дорожной деятельности в отношении указанных автомобильных дорог,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части 6 настоящей статьи, и необходимые для получения специального разрешения, могут быть поданы заявителем на бумажном носителе в орган местного самоуправления муниципального района. Орган местного самоуправления муниципального района, получивший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части 6 настоящей статьи, и необходимые для получения специального разрешения, вносит эти заявление и документы в систему выдачи специального разрешения</w:t>
      </w:r>
    </w:p>
    <w:p>
      <w:r>
        <w:rPr>
          <w:b/>
        </w:rPr>
        <w:t xml:space="preserve">10. </w:t>
      </w:r>
      <w:r>
        <w:t>Маршрут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(далее в настоящей статье также - маршрут движения), должен быть установлен системой выдачи специального разрешения в автоматическом режиме в срок, не превышающий одного календарного дня с момента регистрации этого заявления в системе выдачи специального разрешения, за исключением случая, если объем сведений, внесенных владельцами автомобильных дорог в систему выдачи специального разрешения, не позволяет системе выдачи специального разрешения установить маршрут движения. В этом случае уполномоченный орган в срок, не превышающий одного рабочего дня с момента регистрации заявления в системе выдачи специального разрешения, вносит в систему выдачи специального разрешения необходимые сведения, после чего системой выдачи специального разрешения в автоматическом режиме в течение одного календарного дня с момента внесения необходимых сведений устанавливается маршрут движения</w:t>
      </w:r>
    </w:p>
    <w:p>
      <w:r>
        <w:rPr>
          <w:b/>
        </w:rPr>
        <w:t xml:space="preserve">11. </w:t>
      </w:r>
      <w:r>
        <w:t>Приоритетными критериями при установлении маршрута движения являются наименьшая протяженность между пунктом отправления и пунктом назначения транспортного средства, указанными заявителем в заявлении на выдачу специального разрешения, отсутствие необходимости в разработке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принятии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а также наименьший размер вреда, который будет причинен тяжеловесным транспортным средством автомобильным дорогам. Заявителю может быть предложено несколько вариантов маршрута движения на выбор</w:t>
      </w:r>
    </w:p>
    <w:p>
      <w:r>
        <w:rPr>
          <w:b/>
        </w:rPr>
        <w:t xml:space="preserve">12. </w:t>
      </w:r>
      <w:r>
        <w:t>Для получения специального разрешения на движение тяжеловесного транспортного средства заявителем вносится плата в счет возмещения вреда, который будет причинен тяжеловесным транспортным средством автомобильным дорогам (далее в настоящей статье - плата в счет возмещения вреда). Расчет платы в счет возмещения вреда производится системой выдачи специального разрешения в автоматическом режиме в соответствии с порядком, определенным Правилами движения тяжеловесного и (или) крупногабаритного транспортного средства, указанными в части 6 настоящей статьи, на основании сведений, внесенных владельцами автомобильных дорог в систему выдачи специального разрешения в соответствии с частью 6 статьи 312 настоящего Федерального закона. Расчет платы в счет возмещения вреда производится системой выдачи специального разрешения одновременно с установлением маршрута движения</w:t>
      </w:r>
    </w:p>
    <w:p>
      <w:r>
        <w:rPr>
          <w:b/>
        </w:rPr>
        <w:t xml:space="preserve">13. </w:t>
      </w:r>
      <w:r>
        <w:t>Внесение платы в счет возмещения вреда осуществляется заявителем на основании счета уполномоченного органа, в том числе с использованием системы выдачи специального разрешения. Такой счет формируется системой выдачи специального разрешения в автоматическом режиме по результатам расчета платы в счет возмещения вреда</w:t>
      </w:r>
    </w:p>
    <w:p>
      <w:r>
        <w:rPr>
          <w:b/>
        </w:rPr>
        <w:t xml:space="preserve">14. </w:t>
      </w:r>
      <w:r>
        <w:t>Средства, полученные уполномоченным органом в качестве платы в счет возмещения вреда, который будет причинен тяжеловесным транспортным средством автомобильным дорогам федерального, регионального или межмуниципального, местного значения, частным автомобильным дорогам, подлежат зачислению соответственно в доход федерального бюджета, доход бюджета субъекта Российской Федерации, доход местных бюджетов, доход собственников частных автомобильных дорог</w:t>
      </w:r>
    </w:p>
    <w:p>
      <w:r>
        <w:rPr>
          <w:b/>
        </w:rPr>
        <w:t xml:space="preserve">15. </w:t>
      </w:r>
      <w:r>
        <w:t>Если ширина крупногабаритного транспортного средства превышает 5 метров и (или) длина крупногабаритного транспортного средства превышает 35 метров и (или) если маршрут или участок маршрута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проходит по двухполосной автомобильной дороге и ширина проезжей части для встречного движения при движении тяжеловесного и (или) крупногабаритного транспортного средства составляет менее 3 метров, для получения специального разрешения заявителем обеспечивается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Установление необходимости разработки проекта организации дорожного движения для маршрута или участка маршрута движения тяжеловесного и (или) крупногабаритного транспортного средства производится системой выдачи специального разрешения одновременно с установлением маршрута движения</w:t>
      </w:r>
    </w:p>
    <w:p>
      <w:r>
        <w:rPr>
          <w:b/>
        </w:rPr>
        <w:t xml:space="preserve">16. </w:t>
      </w:r>
      <w:r>
        <w:t>Если масса тяжеловесного транспортного средства превышает несущую способность участка автомобильной дороги и (или) искусственного дорожного сооружения, по которым проходит маршрут или участок маршрута движения тяжеловесного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и (или) габариты крупногабаритного транспортного средства превышают габариты приближения автомобильной дороги, по которой проходит маршрут или участок маршрута движения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с учетом радиусов автомобильной дороги в плане и профиле, и (или) на автомобильной дороге или ее участке, по которым проходит маршрут или участок маршрута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введены временные ограничения движения транспортных средств, для получения специального разрешения заявителем обеспечивается принятие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(далее - меры по обеспечению возможности движения по автомобильной дороге или ее участку тяжеловесного и (или) крупногабаритного транспортного средства). Установление необходимости принятия мер по обеспечению возможности движения по автомобильной дороге или ее участку тяжеловесного и (или) крупногабаритного транспортного средства производится системой выдачи специального разрешения одновременно с установлением маршрута движения</w:t>
      </w:r>
    </w:p>
    <w:p>
      <w:r>
        <w:rPr>
          <w:b/>
        </w:rPr>
        <w:t xml:space="preserve">17. </w:t>
      </w:r>
      <w:r>
        <w:t>Если для движения тяжеловесного и (или) крупногабаритного транспортного средства требуются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 заявитель в течение пяти рабочих дней должен подтвердить в системе выдачи специального разрешения согласие на предоставление такого проекта и (или) принятие таких мер</w:t>
      </w:r>
    </w:p>
    <w:p>
      <w:r>
        <w:rPr>
          <w:b/>
        </w:rPr>
        <w:t xml:space="preserve">18. </w:t>
      </w:r>
      <w:r>
        <w:t>Проект организации дорожного движения для маршрута или участка маршрута движения тяжеловесного и (или) крупногабаритного транспортного средства и (или) перечень мер по обеспечению возможности движения по автомобильной дороге или ее участку тяжеловесного и (или) крупногабаритного транспортного средства вносятся заявителем в систему выдачи специального разрешения</w:t>
      </w:r>
    </w:p>
    <w:p>
      <w:r>
        <w:rPr>
          <w:b/>
        </w:rPr>
        <w:t xml:space="preserve">19. </w:t>
      </w:r>
      <w:r>
        <w:t>Проект организации дорожного движения для маршрута или участка маршрута движения тяжеловесного и (или) крупногабаритного транспортного средства подлежит согласованию с использованием системы выдачи специального разрешения в порядке, установленном Правилами движения тяжеловесного и (или) крупногабаритного транспортного средства, указанными в части 6 настоящей статьи, с соответствующими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и владельцами автомобильных дорог, по которым проходит такой маршрут или такой участок маршрута. Перечень мер по обеспечению возможности движения по автомобильной дороге или ее участку тяжеловесного и (или) крупногабаритного транспортного средства подлежит согласованию с использованием системы выдачи специального разрешения в порядке, установленном Правилами движения тяжеловесного и (или) крупногабаритного транспортного средства, указанными в части 6 настоящей статьи, с владельцами автомобильных дорог, по которым проходит такой маршрут или такой участок маршрута</w:t>
      </w:r>
    </w:p>
    <w:p>
      <w:r>
        <w:rPr>
          <w:b/>
        </w:rPr>
        <w:t xml:space="preserve">20. </w:t>
      </w:r>
      <w:r>
        <w:t>Рассмотрение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осуществляется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владельцами автомобильных дорог в срок, не превышающий пяти рабочих дней со дня поступления таких проекта и (или) перечня мер. В случае, если по истечении этого срока орган государственной власти и (или) лица, указанные в настоящей части, не сообщили о своем решении (согласии или мотивированном отказе по основаниям, предусмотренным пунктом 4 части 24 настоящей статьи), такие проект и (или) перечень мер считаются согласованными. При рассмотрении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оценивается возможность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при условии реализации мероприятий, предусмотренных проектом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принятия мер, предусмотренных перечнем мер по обеспечению возможности движения по автомобильной дороге или ее участку тяжеловесного и (или) крупногабаритного транспортного средства. Взимание платы за согласование материалов не допускается</w:t>
      </w:r>
    </w:p>
    <w:p>
      <w:r>
        <w:rPr>
          <w:b/>
        </w:rPr>
        <w:t xml:space="preserve">21. </w:t>
      </w:r>
      <w:r>
        <w:t>Специальное разрешение должно быть выдано в течение трех часов с момента согласования маршрута движения заявителем, за исключением случаев, если для выдачи специального разрешения требуется наступление иных событий, необходимых в соответствии с настоящей статьей для получения специального разрешения. В этих случаях специальное разрешение должно быть выдано в течение трех часов с момента наступления всех событий, необходимых в соответствии с настоящей статьей для получения специального разрешения: согласования маршрута движения заявителем, подтверждения внесения платы в счет возмещения вреда в случае, если для получения специального разрешения требуется внесение платы в счет возмещения вреда, получения 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в случае, если для получения специального разрешения осуществляется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подтверждения владельцем автомобильной дороги выполнения заявителем мер по обеспечению возможности движения по автомобильной дороге или ее участку тяжеловесного и (или) крупногабаритного транспортного средства в случае, если для получения специального разрешения осуществляется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 xml:space="preserve">22. </w:t>
      </w:r>
      <w:r>
        <w:t>В срок, установленный частью 21 настоящей статьи, не включаются срок дачи согласия заявителем на представление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 период, в течение которого заявителем обеспечивается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период, в течение которого заявителем обеспечивается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 xml:space="preserve">23. </w:t>
      </w:r>
      <w:r>
        <w:t>Выдача специального разрешения осуществляется путем внесения сведений о выданном специальном разрешении в Реестр. Заявителю направляется выписка из Реестра в форме электронного документа, подписанного усиленной квалифицированной электронной подписью уполномоченного органа. В случае, предусмотренном частью 9 настоящей статьи, выписка из Реестра предоставляется заявителю по его выбору в форме электронного документа, подписанного усиленной квалифицированной электронной подписью уполномоченного органа, или на бумажном носителе. Выписка из Реестра предоставляется заявителю бесплатно. Состав сведений, которые содержит выписка из Реестра, устанавливается Правилами движения тяжеловесного и (или) крупногабаритного транспортного средства</w:t>
      </w:r>
    </w:p>
    <w:p>
      <w:r>
        <w:rPr>
          <w:b/>
        </w:rPr>
        <w:t xml:space="preserve">24. </w:t>
      </w:r>
      <w:r>
        <w:t>Уполномоченный орган принимает решение об отказе в выдаче специального разрешения в случае, если</w:t>
      </w:r>
    </w:p>
    <w:p>
      <w:r>
        <w:rPr>
          <w:b/>
        </w:rPr>
        <w:t xml:space="preserve">25. </w:t>
      </w:r>
      <w:r>
        <w:t>По запросу заявителя в уполномоченный орган в срок, не превышающий двух рабочих дней со дня регистрации такого запроса, производится замена указанного в специальном разрешении транспортного средства на аналогичное по своим техническим характеристикам, весовым и габаритным параметрам транспортное средство</w:t>
      </w:r>
    </w:p>
    <w:p>
      <w:r>
        <w:rPr>
          <w:b/>
        </w:rPr>
        <w:t xml:space="preserve">26. </w:t>
      </w:r>
      <w:r>
        <w:t>О дате начала каждой поездки тяжеловесного транспортного средства заявитель информирует уполномоченный орган посредством указания даты начала такой поездки в личном кабинете перевозчика. В случае, если в период поездки такого транспортного средства выявлено, что указанная в настоящей части информация не представлена заявителем в уполномоченный орган, движение такого транспортного средства считается осуществляемым без специального разрешения</w:t>
      </w:r>
    </w:p>
    <w:p>
      <w:r>
        <w:rPr>
          <w:b/>
        </w:rPr>
        <w:t xml:space="preserve">27. </w:t>
      </w:r>
      <w:r>
        <w:t>За выдачу специального разрешения уплачивается государственная пошлина в соответствии с законодательством Российской Федерации о налогах и сборах</w:t>
      </w:r>
    </w:p>
    <w:p>
      <w:r>
        <w:rPr>
          <w:b/>
        </w:rPr>
        <w:t xml:space="preserve">28. </w:t>
      </w:r>
      <w:r>
        <w:t>Порядок осуществления весового и габаритного контроля транспортных средств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29. </w:t>
      </w:r>
      <w:r>
        <w:t>Порядок осуществления весового и габаритного контроля транспортных средств должен содержать в том числе</w:t>
      </w:r>
    </w:p>
    <w:p>
      <w:r>
        <w:rPr>
          <w:b/>
        </w:rPr>
        <w:t xml:space="preserve">30. </w:t>
      </w:r>
      <w:r>
        <w:t>Индивидуальные предприниматели или юридические лица,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w:t>
      </w:r>
    </w:p>
    <w:p>
      <w:r>
        <w:rPr>
          <w:b/>
        </w:rPr>
        <w:t xml:space="preserve">31. </w:t>
      </w:r>
      <w:r>
        <w:t>Весовой и габаритный контроль транспортных средств осуществляется в целях обеспечения сохранности автомобильных дорог. Площадки, на которых размещаются стационарные и передвижные пункты весового и габаритного контроля транспортных средств, а также участки автомобильных дорог, в границах которых устанавливаются передвижные и автоматические пункты весового и габаритного контроля транспортных средств, должны соответствовать требованиям к таким площадкам и участкам автомобильных дорог, установленным порядком осуществления весового и габаритного контроля транспортных средств. При осуществлении весового и габаритного контроля транспортных средств соблюдение правил движения тяжеловесного и (или) крупногабаритного транспортного средства контролируется следующим образом</w:t>
      </w:r>
    </w:p>
    <w:p>
      <w:r>
        <w:rPr>
          <w:b/>
        </w:rPr>
        <w:t xml:space="preserve">32. </w:t>
      </w:r>
      <w:r>
        <w:t>При осуществлении весового и габаритного контроля транспортного средства</w:t>
      </w:r>
    </w:p>
    <w:p>
      <w:r>
        <w:rPr>
          <w:b/>
        </w:rPr>
        <w:t xml:space="preserve">33. </w:t>
      </w:r>
      <w:r>
        <w:t>В случае, если после проезда через автоматический пункт весового и габаритного контроля транспортных средств выявлено превышение допустимых весовых и (или) габаритных параметров транспортного средства, на оборудовании, обеспечивающем визуальное информирование водителя, отображаются государственный регистрационный номер транспортного средства и информация о факте превышения им допустимых весовых и (или) габаритных параметров транспортного средства. Оборудование, обеспечивающее визуальное информирование водителя, устанавливается на автомобильной дороге по пути следования транспортных средств после автоматического пункта весового и габаритного контроля транспортных средств на расстоянии от этого пункта, обеспечивающем возможность восприятия водителем размещаемой на данном оборудовании информации с учетом установленного на участке автомобильной дороги скоростного режима</w:t>
      </w:r>
    </w:p>
    <w:p>
      <w:r>
        <w:rPr>
          <w:b/>
        </w:rPr>
        <w:t xml:space="preserve">34. </w:t>
      </w:r>
      <w:r>
        <w:t>После прохождения зоны автоматического весового и габаритного контроля транспортных средств водитель транспортного средства обязан в случае размещения на оборудовании, обеспечивающем визуальное информирование водителя, информации о превышении допустимых весовых и (или) габаритных параметров транспортного средства и при отсутствии выданного в установленном порядке специального разрешения принять меры по устранению выявленного превышения, остановив управляемое им транспортное средство с соблюдением правил дорожного движения в ближайшем месте за пределами проезжей части автомобильной дороги, где такое транспортное средство не будет создавать препятствие для движения других транспортных средств и (или) пешеходов</w:t>
      </w:r>
    </w:p>
    <w:p>
      <w:r>
        <w:rPr>
          <w:b/>
        </w:rPr>
        <w:t xml:space="preserve">35. </w:t>
      </w:r>
      <w:r>
        <w:t>Движение тяжеловесных и (или) крупногабаритных транспортных средств в зоне автоматического весового и габаритного контроля транспортных средств осуществляется в соответствии с порядком, устанавливаемым Правительством Российской Федерации, который должен содержать в том числе</w:t>
      </w:r>
    </w:p>
    <w:p>
      <w:r>
        <w:rPr>
          <w:b/>
        </w:rPr>
        <w:t xml:space="preserve">36. </w:t>
      </w:r>
      <w:r>
        <w:t>Осуществление весового и габаритного контроля транспортных средств посредством автоматического пункта весового и габаритного контроля транспортных средств не допускается без установления периода его тестовой эксплуатации, в течение которого обеспечиваются фиксация весовых и габаритных параметров транспортных средств и размещение владельцами автомобильных дорог, а в отношении автомобильной дороги, переданной в доверительное управление Государственной компании "Российские автомобильные дороги", Государственной компанией "Российские автомобильные дороги" на своих официальных сайтах в информационно-телекоммуникационной сети "Интернет" (в случае фиксации превышения допустимых весовых и (или) габаритных параметров транспортных средств) соответствующей информации без ее передачи в органы государственного контроля (надзора), муниципального контроля. Продолжительность периода тестовой эксплуатации, порядок ее проведения, включая порядок информирования собственника (владельца) тяжеловесного и (или) крупногабаритного транспортного средства и (или) водителя, управляющего таким транспортным средством, о результатах соответствующих измерений,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в) дополнить статьей 312 следующего содержания: "Статья 312. Федеральная государственная информационная система выдачи специального разрешения на движение по автомобильным дорогам тяжеловесного и (или) крупногабаритного транспортного средства 1. Федеральная государственная информационная система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является федеральной государственной информационной системой, обеспечивающей взаимодействие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или подведомственного ему учреждения, действующего от имени Российской Федерации, уполномоченного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(далее в настоящей статье также - специальное разрешение) в соответствии с частью 7 статьи 31 настоящего Федерального закона, с физическими лицами, в том числе индивидуальными предпринимателями, и юридическими лицами, подающими заявления на выдачу специального разрешения на движение по автомобильным дорогам тяжеловесного и (или) крупногабаритного транспортного средства (далее в настоящей статье - заявитель), владельцами автомобильных дорог,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в том числе в целях</w:t>
      </w:r>
    </w:p>
    <w:p>
      <w:r>
        <w:rPr>
          <w:b/>
        </w:rPr>
        <w:t xml:space="preserve">2. </w:t>
      </w:r>
      <w:r>
        <w:t>Порядок взаимодействия, указанного в части 1 настоящей статьи, перечни видов информации, предоставляемой в обязательном порядке заявителями и владельцами автомобильных дорог в систему выдачи специального разрешения, устанавливаются Правилами движения тяжеловесного и (или) крупногабаритного транспортного средства, предусмотренными частью 6 статьи 31 настоящего Федерального закона</w:t>
      </w:r>
    </w:p>
    <w:p>
      <w:r>
        <w:rPr>
          <w:b/>
        </w:rPr>
        <w:t xml:space="preserve">3. </w:t>
      </w:r>
      <w:r>
        <w:t>Оператором системы выдачи специального разрешения является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или подведомственное ему учреждение, действующее от имени Российской Федерации, уполномоченное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в соответствии с частью 7 статьи 31 настоящего Федерального закона (далее в настоящей статье - уполномоченный орган)</w:t>
      </w:r>
    </w:p>
    <w:p>
      <w:r>
        <w:rPr>
          <w:b/>
        </w:rPr>
        <w:t xml:space="preserve">4. </w:t>
      </w:r>
      <w:r>
        <w:t>Обладателем информации, содержащейся в системе выдачи специального разрешения, является Российская Федерация. От имени Российской Федерации правомочия обладателя информации, содержащейся в системе выдачи специального разрешения,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
        <w:rPr>
          <w:b/>
        </w:rPr>
        <w:t xml:space="preserve">5. </w:t>
      </w:r>
      <w:r>
        <w:t>В составе системы выдачи специального разрешения уполномоченным органом обеспечивается ведение Федерального реестра специальных разрешений на движение по автомобильным дорогам тяжеловесного и (или) крупногабаритного транспортного средства (далее в настоящей статье - Реестр). Реестр является государственным информационным ресурсом системы выдачи специального разрешения</w:t>
      </w:r>
    </w:p>
    <w:p>
      <w:r>
        <w:rPr>
          <w:b/>
        </w:rPr>
        <w:t xml:space="preserve">6. </w:t>
      </w:r>
      <w:r>
        <w:t>Владельцы автомобильных дорог обеспечивают в системе выдачи специального разрешения наличие и достоверность сведений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находящимся в их ведении, об особых условиях движения (при наличии) на автомобильных дорогах или их участках, находящихся в их ведении, в сроки и порядке, которые установлены Правилами движения тяжеловесного и (или) крупногабаритного транспортного средства, предусмотренными частью 6 статьи 31 настоящего Федерального закона</w:t>
      </w:r>
    </w:p>
    <w:p>
      <w:r>
        <w:rPr>
          <w:b/>
        </w:rPr>
        <w:t xml:space="preserve">7. </w:t>
      </w:r>
      <w:r>
        <w:t>Для реализации заявителями и уполномоченным органом своих прав и обязанностей, установленных настоящей статьей и статьей 31 настоящего Федерального закона, а также реализации иных функций, которые вправе определить Правительство Российской Федерации, на официальном сайте в информационно-телекоммуникационной сети "Интернет" уполномоченного органа размещается информационный ресурс системы выдачи специального разрешения (далее в настоящей статье - личный кабинет перевозчика). Личный кабинет перевозчика в том числе обеспечивает возможность подачи заявления на выдачу специального разрешения и документов, необходимых для выдачи специального разрешения, взаимодействие между заявителем и уполномоченным органом в целях выдачи специального разрешения, получения выписки из Реестра, фиксации даты начала поездки тяжеловесного транспортного средства</w:t>
      </w:r>
    </w:p>
    <w:p>
      <w:r>
        <w:rPr>
          <w:b/>
        </w:rPr>
        <w:t xml:space="preserve">8. </w:t>
      </w:r>
      <w:r>
        <w:t>Доступ к личному кабинету перевозчика предоставляется российским или иностранным заявителям в порядке, определенном Правилами движения тяжеловесного и (или) крупногабаритного транспортного средства, предусмотренными частью 6 статьи 31 настоящего Федерального закона</w:t>
      </w:r>
    </w:p>
    <w:p>
      <w:r>
        <w:rPr>
          <w:b/>
        </w:rPr>
        <w:t xml:space="preserve">9. </w:t>
      </w:r>
      <w:r>
        <w:t>Нормативы финансовых затрат на обеспечение эксплуатации и развития системы выдачи специального разрешения и на реализацию уполномоченным органом полномочий по выдаче специального разрешения, а также правила расчета размера бюджетных ассигнований федерального бюджета на указанные цели утверждаются Правительством Российской Федерации."; г) дополнить статьей 313 следующего содержания: "Статья 313. Движение по автомобильным дорогам транспортных средств, осуществляющих перевозки опасных грузов 1. Движение по автомобильным дорогам транспортных средств, осуществляющих перевозки опасных грузов, относящихся согласно Соглашению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(далее в настоящей статье также - специальное разрешение), за исключением</w:t>
      </w:r>
    </w:p>
    <w:p>
      <w:r>
        <w:rPr>
          <w:b/>
        </w:rPr>
        <w:t xml:space="preserve">2. </w:t>
      </w:r>
      <w:r>
        <w:t>Движение по автомобильным дорогам транспортных средств, осуществляющих перевозки опасных грузов, указанных в абзаце первом части 1 настоящей статьи, и являющихся самоходными транспортными средствами с вооружением, военной техникой, транспортными средствами других войск, воинских формирований и органов, указанных в пунктах 5 и 6 статьи 1 Федерального закона от 31 мая 1996 года № 61-ФЗ "Об обороне", осуществляющими перевозки вооружения, военной техники и военного имущества, осуществляется без специальных разрешений и организуется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Порядок указанного взаимодействия устанавливается Правительством Российской Федерации</w:t>
      </w:r>
    </w:p>
    <w:p>
      <w:r>
        <w:rPr>
          <w:b/>
        </w:rPr>
        <w:t xml:space="preserve">3. </w:t>
      </w:r>
      <w:r>
        <w:t>Движение по автомобильным дорогам транспортных средств, указанных в пункте 2 части 1 настоящей статьи, осуществляется без специальных разрешений в соответствии с нормативными правовыми актами Российской Федерации, регулирующими перевозки специальных грузов</w:t>
      </w:r>
    </w:p>
    <w:p>
      <w:r>
        <w:rPr>
          <w:b/>
        </w:rPr>
        <w:t xml:space="preserve">4. </w:t>
      </w:r>
      <w:r>
        <w:t>Международные автомобильные перевозки опасных грузов, движение по автомобильным дорогам в международном сообщении тяжеловесного и (или) крупногабаритного транспортного средства осуществляются в соответствии с Федеральным законом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rPr>
          <w:b/>
        </w:rPr>
        <w:t xml:space="preserve">5. </w:t>
      </w:r>
      <w:r>
        <w:t>Для получения специального разрешения требуется наличие информации компетентного органа в области обеспечения транспортной безопасности, определенного в соответствии с Федеральным законом от 9 февраля 2007 года № 16-ФЗ "О транспортной безопасности", о получении от субъекта транспортной инфраструктуры паспорта обеспечения транспортной безопасности транспортного средства, разработанного и утвержденного в соответствии с законодательством Российской Федерации в области обеспечения транспортной безопасности</w:t>
      </w:r>
    </w:p>
    <w:p>
      <w:r>
        <w:rPr>
          <w:b/>
        </w:rPr>
        <w:t xml:space="preserve">6. </w:t>
      </w:r>
      <w:r>
        <w:t>Выдача специального разрешения осуществляется федеральным органом исполнительной власти, осуществляющим функции по контролю и надзору в сфере транспорта. Порядок выдачи специального разрешения, включая порядок согласования маршрутов транспортных средств, осуществляющих перевозки опасных грузов, порядок установления постоянных маршрутов транспортных средств, осуществляющих перевозки опасных грузов, форму бланка специального разрешения, порядок переоформления специального разрешения и срок действия специального разрешения,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7. </w:t>
      </w:r>
      <w:r>
        <w:t>Заявление на выдачу специального разрешения и иные документы, необходимые для получения специального разрешения и предусмотренные порядком, установленным в соответствии с частью 6 настоящей статьи, подаются физическим лицом, в том числе индивидуальным предпринимателем, или юридическим лицом, владеющими на праве собственности или ином законном основании транспортным средством, на которое выдается специальное разрешение (далее в настоящей статье - заявитель), в орган, осуществляющий выдачу специального разрешения, по выбору заявителя</w:t>
      </w:r>
    </w:p>
    <w:p>
      <w:r>
        <w:rPr>
          <w:b/>
        </w:rPr>
        <w:t xml:space="preserve">8. </w:t>
      </w:r>
      <w:r>
        <w:t>Маршрут движения транспортного средства, осуществляющего перевозки опасных грузов, должен быть согласован органом, осуществляющим выдачу специального разрешения, с владельцами автомобильных дорог, по которым проходит такой маршрут или такой участок маршрута</w:t>
      </w:r>
    </w:p>
    <w:p>
      <w:r>
        <w:rPr>
          <w:b/>
        </w:rPr>
        <w:t xml:space="preserve">9. </w:t>
      </w:r>
      <w:r>
        <w:t>Рассмотрение обращения органа, осуществляющего выдачу специального разрешения, содержащего маршрут движения транспортного средства, осуществляющего перевозки опасных грузов, проводится владельцами автомобильных дорог в срок, не превышающий трех рабочих дней с даты поступления обращения. Перечень оснований для отказа владельца автомобильной дороги в согласовании маршрута движения транспортного средства, осуществляющего перевозки опасных грузов,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Взимание платы за согласование маршрута движения транспортного средства, осуществляющего перевозки опасных грузов, не допускается</w:t>
      </w:r>
    </w:p>
    <w:p>
      <w:r>
        <w:rPr>
          <w:b/>
        </w:rPr>
        <w:t xml:space="preserve">10. </w:t>
      </w:r>
      <w:r>
        <w:t>При наличии оснований для отказа в согласовании маршрута движения транспортного средства, осуществляющего перевозки опасных грузов, владелец автомобильной дороги вправе согласовать маршрут по другим участкам дорог между указанными заявителем в заявлении начальным пунктом отправления, промежуточными пунктами и пунктом назначения транспортного средства, осуществляющего перевозки опасных грузов, в пределах сети автомобильных дорог одного владельца автомобильной дороги</w:t>
      </w:r>
    </w:p>
    <w:p>
      <w:r>
        <w:rPr>
          <w:b/>
        </w:rPr>
        <w:t xml:space="preserve">11. </w:t>
      </w:r>
      <w:r>
        <w:t>В срок, не превышающий семи рабочих дней со дня регистрации заявления о выдаче специального разрешения, орган, осуществляющий выдачу специального разрешения, принимает решение о выдаче специального разрешения или об отказе в выдаче специального разрешения</w:t>
      </w:r>
    </w:p>
    <w:p>
      <w:r>
        <w:rPr>
          <w:b/>
        </w:rPr>
        <w:t xml:space="preserve">12. </w:t>
      </w:r>
      <w:r>
        <w:t>Орган, осуществляющий выдачу специального разрешения, отказывает в выдаче специального разрешения в случае, если</w:t>
      </w:r>
    </w:p>
    <w:p>
      <w:r>
        <w:rPr>
          <w:b/>
        </w:rPr>
        <w:t xml:space="preserve">13. </w:t>
      </w:r>
      <w:r>
        <w:t>За выдачу специального разрешения уплачивается государственная пошлина в соответствии с законодательством Российской Федерации о налогах и сборах</w:t>
      </w:r>
    </w:p>
    <w:p>
      <w:r>
        <w:rPr>
          <w:b/>
        </w:rPr>
        <w:t xml:space="preserve">14. </w:t>
      </w:r>
      <w:r>
        <w:t>Информационное взаимодействие органа, осуществляющего выдачу специального разрешения, с владельцами автомобильных дорог (за исключением владельцев частных автомобильных дорог) осуществляется в соответствии с требованиями к межведомственному информационному взаимодействию, установленными Федеральным законом от 27 июля 2010 года № 210-ФЗ "Об организации предоставления государственных и муниципальных услуг"."</w:t>
      </w:r>
    </w:p>
    <w:p>
      <w:r>
        <w:rPr>
          <w:b/>
        </w:rPr>
        <w:t xml:space="preserve">6. </w:t>
      </w:r>
      <w:r>
        <w:t>допустимые массу, нагрузку на ось, нагрузку на группу осей (в целях учета неравномерности распределения нагрузки в группах сближенных сдвоенных и строенных осей) и габариты транспортного средства</w:t>
      </w:r>
    </w:p>
    <w:p>
      <w:r>
        <w:rPr>
          <w:b/>
        </w:rPr>
        <w:t xml:space="preserve">6. </w:t>
      </w:r>
      <w:r>
        <w:t>порядок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также - специальное разрешение), включающий в том числе срок действия специального разрешения, порядок 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перечня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а также порядок подтверждения владельцем автомобильной дороги выполнения заявителем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w:t>
      </w:r>
    </w:p>
    <w:p>
      <w:r>
        <w:rPr>
          <w:b/>
        </w:rPr>
        <w:t xml:space="preserve">6. </w:t>
      </w:r>
      <w:r>
        <w:t>порядок возмещения вреда, причиняемого тяжеловесным транспортным средством автомобильным дорогам</w:t>
      </w:r>
    </w:p>
    <w:p>
      <w:r>
        <w:rPr>
          <w:b/>
        </w:rPr>
        <w:t xml:space="preserve">6. </w:t>
      </w:r>
      <w:r>
        <w:t>порядок определения размера платы в счет возмещения вреда, причиняемого тяжеловесным транспортным средством автомобильным дорогам</w:t>
      </w:r>
    </w:p>
    <w:p>
      <w:r>
        <w:rPr>
          <w:b/>
        </w:rPr>
        <w:t xml:space="preserve">6. </w:t>
      </w:r>
      <w:r>
        <w:t>требования к движению по автомобильным дорогам общего пользования тяжеловесной и (или) крупногабаритной сельскохозяйственной техники с прицепным оборудованием</w:t>
      </w:r>
    </w:p>
    <w:p>
      <w:r>
        <w:rPr>
          <w:b/>
        </w:rPr>
        <w:t xml:space="preserve">6. </w:t>
      </w:r>
      <w:r>
        <w:t>порядок ведения Федерального реестра специальных разрешений на движение по автомобильным дорогам тяжеловесного и (или) крупногабаритного транспортного средства (далее в настоящей статье - Реестр)</w:t>
      </w:r>
    </w:p>
    <w:p>
      <w:r>
        <w:rPr>
          <w:b/>
        </w:rPr>
        <w:t xml:space="preserve">24. </w:t>
      </w:r>
      <w:r>
        <w:t>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(не распространяется на физических лиц),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 на выдачу специального разрешения. Положения настоящего пункта не распространяются на иностранных физических и юридических лиц</w:t>
      </w:r>
    </w:p>
    <w:p>
      <w:r>
        <w:rPr>
          <w:b/>
        </w:rPr>
        <w:t xml:space="preserve">24. </w:t>
      </w:r>
      <w:r>
        <w:t>установленные требования о перевозке груза, не являющегося неделимым, не соблюдены</w:t>
      </w:r>
    </w:p>
    <w:p>
      <w:r>
        <w:rPr>
          <w:b/>
        </w:rPr>
        <w:t xml:space="preserve">24. </w:t>
      </w:r>
      <w:r>
        <w:t>сведения, содержащиеся в заявлении на выдачу специального разрешения и документах, поданных заявителем в соответствии с частью 8 или 9 настоящей статьи, не соответствуют техническим характеристикам транспортного средства и груза, регистрационным данным транспортного средства, а также технической возможности осуществления заявленной перевозки</w:t>
      </w:r>
    </w:p>
    <w:p>
      <w:r>
        <w:rPr>
          <w:b/>
        </w:rPr>
        <w:t xml:space="preserve">24. </w:t>
      </w:r>
      <w:r>
        <w:t>при согласовании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установлена невозможность осуществления движения тяжеловесного и (или) крупногабаритного транспортного средства с заявленными техническими характеристиками между пунктом отправления и пунктом назначения транспортного средства, указанными заявителем в заявлении на выдачу специального разрешения, в связи с техническим состоянием автомобильной дороги, искусственных дорожных сооружений и иных сооружений или инженерных коммуникаций, а также в соответствии с требованиями безопасности дорожного движения</w:t>
      </w:r>
    </w:p>
    <w:p>
      <w:r>
        <w:rPr>
          <w:b/>
        </w:rPr>
        <w:t xml:space="preserve">24. </w:t>
      </w:r>
      <w:r>
        <w:t>отсутствует согласие заявителя на разработку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 xml:space="preserve">24. </w:t>
      </w:r>
      <w:r>
        <w:t>отсутствует допуск у российского перевозчика к осуществлению международных автомобильных перевозок (при осуществлении международной автомобильной перевозки грузов)</w:t>
      </w:r>
    </w:p>
    <w:p>
      <w:r>
        <w:rPr>
          <w:b/>
        </w:rPr>
        <w:t xml:space="preserve">24. </w:t>
      </w:r>
      <w:r>
        <w:t>истек указанный в заявлении на выдачу специального разрешения срок перевозки</w:t>
      </w:r>
    </w:p>
    <w:p>
      <w:r>
        <w:rPr>
          <w:b/>
        </w:rPr>
        <w:t xml:space="preserve">29. </w:t>
      </w:r>
      <w:r>
        <w:t>порядок организации стационарных, передвижных и автоматических пунктов весового и габаритного контроля транспортных средств</w:t>
      </w:r>
    </w:p>
    <w:p>
      <w:r>
        <w:rPr>
          <w:b/>
        </w:rPr>
        <w:t xml:space="preserve">29. </w:t>
      </w:r>
      <w:r>
        <w:t>требования к площадкам для размещения стационарных и передвижных пунктов весового и габаритного контроля транспортных средств, а также к участкам автомобильных дорог, в границах которых устанавливаются передвижные и автоматические пункты весового и габаритного контроля транспортных средств</w:t>
      </w:r>
    </w:p>
    <w:p>
      <w:r>
        <w:rPr>
          <w:b/>
        </w:rPr>
        <w:t xml:space="preserve">29. </w:t>
      </w:r>
      <w:r>
        <w:t>требования к размещению оборудования, осуществляющего измерение весовых и габаритных параметров транспортных средств</w:t>
      </w:r>
    </w:p>
    <w:p>
      <w:r>
        <w:rPr>
          <w:b/>
        </w:rPr>
        <w:t xml:space="preserve">29. </w:t>
      </w:r>
      <w:r>
        <w:t>требования к оборудованию, обеспечивающему визуальное информирование водителя тяжеловесного и (или) крупногабаритного транспортного средства о превышении допустимых весовых и (или) габаритных параметров транспортного средства, зафиксированных автоматическим пунктом весового и габаритного контроля транспортных средств</w:t>
      </w:r>
    </w:p>
    <w:p>
      <w:r>
        <w:rPr>
          <w:b/>
        </w:rPr>
        <w:t xml:space="preserve">31. </w:t>
      </w:r>
      <w:r>
        <w:t>осуществляются измерение массы, нагрузки на ось, расстояния между осями, габаритов и других параметров транспортного средства и их сравнение с допустимыми значениями массы, нагрузки на ось, габаритов транспортного средства, установленными для участка автомобильной дороги, в границах которого осуществляется весовой и габаритный контроль транспортных средств</w:t>
      </w:r>
    </w:p>
    <w:p>
      <w:r>
        <w:rPr>
          <w:b/>
        </w:rPr>
        <w:t xml:space="preserve">31. </w:t>
      </w:r>
      <w:r>
        <w:t>в случае выявления превышения установленных весовых и (или) габаритных параметров транспортного средства:</w:t>
      </w:r>
    </w:p>
    <w:p>
      <w:r>
        <w:rPr>
          <w:b/>
        </w:rPr>
        <w:t xml:space="preserve">31. </w:t>
      </w:r>
      <w:r>
        <w:t>проверяется наличие специального разрешения</w:t>
      </w:r>
    </w:p>
    <w:p>
      <w:r>
        <w:rPr>
          <w:b/>
        </w:rPr>
        <w:t xml:space="preserve">31. </w:t>
      </w:r>
      <w:r>
        <w:t>осуществляется сравнение фактических весовых и (или) габаритных параметров транспортного средства с параметрами, указанными в специальном разрешении</w:t>
      </w:r>
    </w:p>
    <w:p>
      <w:r>
        <w:rPr>
          <w:b/>
        </w:rPr>
        <w:t xml:space="preserve">32. </w:t>
      </w:r>
      <w:r>
        <w:t>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 транспортных средств</w:t>
      </w:r>
    </w:p>
    <w:p>
      <w:r>
        <w:rPr>
          <w:b/>
        </w:rPr>
        <w:t xml:space="preserve">32. </w:t>
      </w:r>
      <w:r>
        <w:t>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Государственная компания "Российские автомобильные дороги":</w:t>
      </w:r>
    </w:p>
    <w:p>
      <w:r>
        <w:rPr>
          <w:b/>
        </w:rPr>
        <w:t xml:space="preserve">32. </w:t>
      </w:r>
      <w:r>
        <w:t>в целях осуществления весового и габаритного контроля транспортного средства принимает решение об установке и использовании на автомобильной дороге автоматических пунктов весового и габаритного контроля транспортных средств</w:t>
      </w:r>
    </w:p>
    <w:p>
      <w:r>
        <w:rPr>
          <w:b/>
        </w:rPr>
        <w:t xml:space="preserve">32. </w:t>
      </w:r>
      <w:r>
        <w:t>финансирует расходы, связанные с обработкой и рассылкой постановлений органов государственного контроля (надзора), муниципального контроля о нарушениях правил движения тяжеловесного и (или) крупногабаритного транспортного средства, зафиксированных с помощью автоматических пунктов весового и габаритного контроля транспортных средств</w:t>
      </w:r>
    </w:p>
    <w:p>
      <w:r>
        <w:rPr>
          <w:b/>
        </w:rPr>
        <w:t xml:space="preserve">32. </w:t>
      </w:r>
      <w:r>
        <w:t>обеспечивает информирование водителя транспортного средства с помощью технических средств организации дорожного движения о приближении к автоматическим пунктам весового и габаритного контроля транспортных средств</w:t>
      </w:r>
    </w:p>
    <w:p>
      <w:r>
        <w:rPr>
          <w:b/>
        </w:rPr>
        <w:t xml:space="preserve">35. </w:t>
      </w:r>
      <w:r>
        <w:t>требования к условиям движения транспортных средств</w:t>
      </w:r>
    </w:p>
    <w:p>
      <w:r>
        <w:rPr>
          <w:b/>
        </w:rPr>
        <w:t xml:space="preserve">35. </w:t>
      </w:r>
      <w:r>
        <w:t>требования к обозначению зоны автоматического весового и габаритного контроля транспортных средств техническими средствами организации дорожного движения</w:t>
      </w:r>
    </w:p>
    <w:p>
      <w:r>
        <w:rPr>
          <w:b/>
        </w:rPr>
        <w:t xml:space="preserve">35. </w:t>
      </w:r>
      <w:r>
        <w:t>требования к использованию внешних световых приборов транспортных средств</w:t>
      </w:r>
    </w:p>
    <w:p>
      <w:r>
        <w:rPr>
          <w:b/>
        </w:rPr>
        <w:t xml:space="preserve">36. </w:t>
      </w:r>
      <w:r>
        <w:t>внесения сведений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а также об особых условиях движения (при наличии)</w:t>
      </w:r>
    </w:p>
    <w:p>
      <w:r>
        <w:rPr>
          <w:b/>
        </w:rPr>
        <w:t xml:space="preserve">36. </w:t>
      </w:r>
      <w:r>
        <w:t>установления пути следования по маршруту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w:t>
      </w:r>
    </w:p>
    <w:p>
      <w:r>
        <w:rPr>
          <w:b/>
        </w:rPr>
        <w:t xml:space="preserve">36. </w:t>
      </w:r>
      <w:r>
        <w:t>внесения платы в счет возмещения вреда, причиняемого тяжеловесным транспортным средством автомобильным дорогам</w:t>
      </w:r>
    </w:p>
    <w:p>
      <w:r>
        <w:rPr>
          <w:b/>
        </w:rPr>
        <w:t xml:space="preserve">36. </w:t>
      </w:r>
      <w:r>
        <w:t>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перечня мер по обеспечению возможности движения по автомобильной дороге или ее участку тяжеловесного и (или) крупногабаритного транспортного средства</w:t>
      </w:r>
    </w:p>
    <w:p>
      <w:r>
        <w:rPr>
          <w:b/>
        </w:rPr>
        <w:t xml:space="preserve">9. </w:t>
      </w:r>
      <w:r>
        <w:t>самоходных транспортных средств с вооружением, военной техники, транспортных средств Вооруженных Сил Российской Федерации, других войск, воинских формирований и органов, указанных в пунктах 5 и 6 статьи 1 Федерального закона от 31 мая 1996 года № 61-ФЗ "Об обороне", осуществляющих перевозки вооружения, военной техники и военного имущества</w:t>
      </w:r>
    </w:p>
    <w:p>
      <w:r>
        <w:rPr>
          <w:b/>
        </w:rPr>
        <w:t xml:space="preserve">9. </w:t>
      </w:r>
      <w:r>
        <w:t>транспортных средств, осуществляющих перевозки указанных в абзаце первом настоящей части грузов, отнесенных к специальным грузам</w:t>
      </w:r>
    </w:p>
    <w:p>
      <w:r>
        <w:rPr>
          <w:b/>
        </w:rPr>
        <w:t xml:space="preserve">7. </w:t>
      </w:r>
      <w:r>
        <w:t>в форме документов на бумажном носителе, которые могут быть поданы лично или посредством почтового отправления с уведомлением о вручении</w:t>
      </w:r>
    </w:p>
    <w:p>
      <w:r>
        <w:rPr>
          <w:b/>
        </w:rPr>
        <w:t xml:space="preserve">7. </w:t>
      </w:r>
      <w:r>
        <w:t>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При этом заявление подписывается электронной подписью в соответствии с требованиями Федерального закона от 6 апреля 2011 года № 63-ФЗ "Об электронной подписи". Вид электронной подписи, использование которой допускается при подаче заявления, устанавливается Правительством Российской Федерации</w:t>
      </w:r>
    </w:p>
    <w:p>
      <w:r>
        <w:rPr>
          <w:b/>
        </w:rPr>
        <w:t xml:space="preserve">12. </w:t>
      </w:r>
      <w:r>
        <w:t>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(не распространяется на физических лиц),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
        <w:rPr>
          <w:b/>
        </w:rPr>
        <w:t xml:space="preserve">12. </w:t>
      </w:r>
      <w:r>
        <w:t>истек срок действия свидетельства о допуске транспортных средств к перевозке опасных грузов</w:t>
      </w:r>
    </w:p>
    <w:p>
      <w:r>
        <w:rPr>
          <w:b/>
        </w:rPr>
        <w:t xml:space="preserve">12. </w:t>
      </w:r>
      <w:r>
        <w:t>владелец автомобильной дороги, по которой проходит маршрут движения транспортного средства, осуществляющего перевозки опасных грузов, отказал в согласовании данного маршрута</w:t>
      </w:r>
    </w:p>
    <w:p>
      <w:r>
        <w:rPr>
          <w:b/>
        </w:rPr>
        <w:t xml:space="preserve">12. </w:t>
      </w:r>
      <w:r>
        <w:t>не соблюдено условие, предусмотренное частью 5 настоящей статьи</w:t>
      </w:r>
    </w:p>
    <w:p>
      <w:r>
        <w:rPr>
          <w:b/>
        </w:rPr>
        <w:t xml:space="preserve">12. </w:t>
      </w:r>
      <w:r>
        <w:t>заявленный опасный груз не соответствует требованиям Соглашения о международной дорожной перевозке опасных грузов (ДОПОГ) по обеспечению безопасности перевозки</w:t>
      </w:r>
    </w:p>
    <w:p>
      <w:r>
        <w:rPr>
          <w:b/>
        </w:rPr>
        <w:t>Статья 2</w:t>
      </w:r>
    </w:p>
    <w:p>
      <w:r>
        <w:t>Внести в Федеральный закон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2014, № 48, ст. 6643; 2019, № 29, ст. 3859; 2020, № 9, ст. 1131; № 50, ст. 8043; 2021, № 24, ст. 4188; 2022, № 16, ст. 2594; 2023, № 1, ст. 74) следующие изменения</w:t>
      </w:r>
    </w:p>
    <w:p>
      <w:r>
        <w:t>в статье 1: а) абзац одиннадцатый дополнить словами ", или габариты, установленные решением о временном ограничении движения транспортных средств, принимаемым на основании пункта 2 части 1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 б) в абзаце двенадцатом слова "которые устанавливаются Правительством Российской Федерации" заменить словами "установленные Правительством Российской Федерации, или массу транспортного средства и (или) нагрузку на ось или группу осей, установленные решением о временном ограничении движения транспортных средств, принимаемым на основании пункта 2 части 1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w:t>
      </w:r>
    </w:p>
    <w:p>
      <w:r>
        <w:t>в статье 3: а) в пункте 1: абзац третий дополнить словами ", в том числе при международной перевозке товаров в контейнере в соответствии с таможенной процедурой таможенного транзита разными видами транспорта"; в абзаце четвертом слова "в том числе по постоянным маршрутам, выдаются в соответствии с порядком, установленным федеральным органом исполнительной власти в области транспорта" заменить словами "выдаются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б) пункты 3 и 5 признать утратившими силу</w:t>
      </w:r>
    </w:p>
    <w:p>
      <w:r>
        <w:rPr>
          <w:b/>
        </w:rPr>
        <w:t>Статья 3</w:t>
      </w:r>
    </w:p>
    <w:p>
      <w:r>
        <w:t>В пункте 19 части 1 статьи 12 Федерального закона от 7 февраля 2011 года № 3-ФЗ "О полиции" (Собрание законодательства Российской Федерации, 2011, № 7, ст. 900; № 27, ст. 3880, 3881; № 49, ст. 7067; 2013, № 14, ст. 1645; № 27, ст. 3477; 2014, № 6, ст. 559, 566; 2015, № 10, ст. 1393; № 29, ст. 4374; 2016, № 27, ст. 4160, 4238; 2017, № 22, ст. 3071; № 31, ст. 4821; № 50, ст. 7562; 2018, № 31, ст. 4857; № 32, ст. 5076; 2019, № 23, ст. 2905; № 40, ст. 5488; № 52, ст. 7805; 2020, № 6, ст. 591; 2021, № 15, ст. 2447; № 24, ст. 4188; № 52, ст. 8983; 2023, № 1, ст. 16, 85; № 6, ст. 921) слова "маршруты крупногабаритных транспортных средств, а в установленных законодательством Российской Федерации случаях - тяжеловесных транспортных средств" заменить словами "проекты организации дорожного движения для маршрутов или участков маршрутов движения тяжеловесных и (или) крупногабаритных транспортных средств".</w:t>
      </w:r>
    </w:p>
    <w:p>
      <w:r>
        <w:rPr>
          <w:b/>
        </w:rPr>
        <w:t>Статья 4</w:t>
      </w:r>
    </w:p>
    <w:p>
      <w:r>
        <w:t>Пункт 3 части 2 и часть 6 статьи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 признать утратившими силу.</w:t>
      </w:r>
    </w:p>
    <w:p>
      <w:r>
        <w:rPr>
          <w:b/>
        </w:rPr>
        <w:t>Статья 5</w:t>
      </w:r>
    </w:p>
    <w:p>
      <w:r>
        <w:rPr>
          <w:b/>
        </w:rPr>
        <w:t xml:space="preserve">1. </w:t>
      </w:r>
      <w:r>
        <w:t>Владельцы автомобильных дорог обязаны внести до 1 марта 2024 года в порядке, установленном Правительством Российской Федерации, информацию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находящимся в их ведении, об особых условиях движения (при наличии) на автомобильных дорогах или их участках, находящихся в их ведении, в федеральную государственную информационную систему выдачи специального разрешения на движение по автомобильным дорогам тяжеловесного и (или) крупногабаритного транспортного средства, предусмотренную статьей 312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 xml:space="preserve">2. </w:t>
      </w:r>
      <w:r>
        <w:t>Порядок, установленный Правительством Российской Федерации в соответствии с частью 1 настоящей статьи, применяется до 1 марта 2024 года</w:t>
      </w:r>
    </w:p>
    <w:p>
      <w:r>
        <w:rPr>
          <w:b/>
        </w:rPr>
        <w:t>Статья 6</w:t>
      </w:r>
    </w:p>
    <w:p>
      <w:r>
        <w:rPr>
          <w:b/>
        </w:rPr>
        <w:t xml:space="preserve">1. </w:t>
      </w:r>
      <w:r>
        <w:t>Настоящий Федеральный закон вступает в силу с 1 марта 2024 года, за исключением положений, для которых настоящей статьей установлены иные сроки вступления их в силу</w:t>
      </w:r>
    </w:p>
    <w:p>
      <w:r>
        <w:rPr>
          <w:b/>
        </w:rPr>
        <w:t xml:space="preserve">2. </w:t>
      </w:r>
      <w:r>
        <w:t>Подпункты "а", "б", абзац третий подпункта "в" пункта 1 и пункт 3 статьи 1, подпункты "а" и "б" пункта 1 статьи 2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"в" пункта 2, подпункт "в" пункта 6 статьи 1 и статья 5 настоящего Федерального закона вступают в силу с 1 сентября 2023 года</w:t>
      </w:r>
    </w:p>
    <w:p>
      <w:r>
        <w:rPr>
          <w:b/>
        </w:rPr>
        <w:t xml:space="preserve">4. </w:t>
      </w:r>
      <w:r>
        <w:t>Положения статьи 312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применяются с 1 марта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