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3446, 3452; 2007, № 16, ст. 1831; № 49, ст. 6036; 2009, № 23, ст. 2776; 2010, № 30, ст. 4007; № 31, ст. 4166; 2011, № 27, ст. 3873; № 46, ст. 6406; 2013, № 26, ст. 3207; № 44, ст. 5641; № 52, ст. 6968; 2014, № 19, ст. 2315; № 23, ст. 2934; № 30, ст. 4219; 2015, № 1, ст. 37; № 18, ст. 2614; № 24, ст. 3367; № 27, ст. 3945, 4001; 2016, № 1, ст. 27, 43, 44; № 26, ст. 3860, 3884; № 27, ст. 4196; № 28, ст. 4558; 2017, № 1, ст. 12; № 31, ст. 4830; 2018, № 1, ст. 54, 66; № 18, ст. 2560, 2576, 2582;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№ 50, ст. 8792; 2023, № 1, ст. 16, 54; № 12, ст. 1887, 1889) следующие изменения</w:t>
      </w:r>
    </w:p>
    <w:p>
      <w:r>
        <w:t>статью 3 дополнить частью пятой следующего содержания: "Под предметами религиозного назначения и религиозной литературой для целей настоящего Федерального закона понимаются предметы религиозного назначения и религиозная литература, включенные в перечень, утверждаемый Правительством Российской Федерации в соответствии с подпунктом 1 пункта 3 статьи 149 Налогового кодекса Российской Федерации."</w:t>
      </w:r>
    </w:p>
    <w:p>
      <w:r>
        <w:t>в пункте 2 статьи 61 слова "абзацах втором - пятом" заменить словами "абзацах втором - шестом"</w:t>
      </w:r>
    </w:p>
    <w:p>
      <w:r>
        <w:t>в статье 7: а) подпункт 2 пункта 1 дополнить новым абзацем четвертым следующего содержания: "религиозными организациями, а также юридическими лицами, которые производят и (или) реализуют предметы религиозного назначения и религиозную литературу и единственными учредителями (участниками) которых являются религиозные организации;"; б) абзацы четвертый - седьмой считать соответственно абзацами пятым - восьмым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