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охране атмосферного воздуха"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11. Гигиенические нормативы качества атмосферного воздуха, нормативы качества окружающей среды для атмосферного воздуха и предельно допустимые уровни физического воздействия на атмосферный воздух"; "Статья 12. Нормативы допустимого воздействия на окружающую среду для атмосферного воздуха"; "Статья 131. Разрешение на временные выбросы, комплексное экологическое разрешение и декларация о воздействии на окружающую среду в области охраны атмосферного воздуха "Статья 16. Требования охраны атмосферного воздуха при осуществлении градостроительной деятельности "Статья 18. Регулирование выбросов загрязняющих веществ при обращении с отходами производства и потребления "ГЛАВА V. МОНИТОРИНГ АТМОСФЕРНОГО ВОЗДУХА, ОЦЕНКА СОБЛЮДЕНИЯ ОБЯЗАТЕЛЬНЫХ ТРЕБОВАНИЙ В ОБЛАСТИ ОХРАНЫ АТМОСФЕРНОГО ВОЗДУХА, ПРОИЗВОДСТВЕННЫЙ И ОБЩЕСТВЕННЫЙ ЭКОЛОГИЧЕСКИЙ КОНТРОЛЬ В ОБЛАСТИ ОХРАНЫ АТМОСФЕРНОГО ВОЗДУХА"; "Статья 25. Производственный экологический контроль в области охраны атмосферного воздуха "Статья 26. Общественный экологический контроль в области охраны атмосферного воздуха";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