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89 и 90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2016, № 1, ст. 77) следующие изменения</w:t>
      </w:r>
    </w:p>
    <w:p>
      <w:r>
        <w:t>пункт 2 статьи 89 изложить в следующей редакции: "2.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супруга, обладающего необходимыми для этого средствами, имеют: нетрудоспособный нуждающийся супруг; жена в период беременности; супруг, фактически осуществляющий уход за общим ребенком в течение трех лет со дня его рождения; нуждающийся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группы."</w:t>
      </w:r>
    </w:p>
    <w:p>
      <w:r>
        <w:t>пункт 1 статьи 90 изложить в следующей редакции: "1. Право требовать предоставления алиментов в судебном порядке от бывшего супруга, обладающего необходимыми для этого средствами, имеют: бывшая жена в период беременности, наступившей в период брака; бывший супруг, фактически осуществляющий уход за общим ребенком в течение трех лет со дня его рождения; 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группы; нетрудоспособный нуждающийся бывший супруг, ставший нетрудоспособным до расторжения брака или в течение года с момента расторжения брака; 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