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2017, № 14, ст. 2003; 2018, № 52, ст. 8097; 2020, № 31, ст. 5029; 2021, № 1, ст. 32; № 24, ст. 4188) следующие изменения</w:t>
      </w:r>
    </w:p>
    <w:p>
      <w:r>
        <w:t>в части 1 слова "и детско-юношеского спорта" заменить словами ", детско-юношеского спорта и массового спорта"</w:t>
      </w:r>
    </w:p>
    <w:p>
      <w:r>
        <w:t>в части 3 слова "1,5 процента" заменить словами "2 процентов"</w:t>
      </w:r>
    </w:p>
    <w:p>
      <w:r>
        <w:t>часть 43 изложить в следующей редакции: "43. Единый регулятор азартных игр осуществляет перечисление, приостановление, возобновление перечисления целевых отчислений общероссийским спортивным федерациям и профессиональным спортивным лигам, в том числе в случае заключения букмекерскими конторами пари на спортивные события, по направлениям деятельности которых на территории Российской Федерации не образованы общероссийские спортивные федерации и профессиональные спортивные лиги, в соответствии с правилами, утвержденными Правительством Российской Федерации. Перечисление целевых отчислений осуществляется не позднее двадцати дней со дня окончания квартала, в котором возникла база расчета целевых отчислений. Отсчет кварталов ведется с начала календарного года. Приостановление и возобновление перечисления целевых отчислений осуществляются единым регулятором азартных игр на основании информации, предусмотренной частью 12 статьи 191 Федерального закона от 4 декабря 2007 года № 329-ФЗ "О физической культуре и спорте в Российской Федерации" и полученной от федерального органа исполнительной власти в области физической культуры и спорта, в соответствии с правилами, утвержденными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статью 191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2016, № 48, ст. 6736; 2017, № 14, ст. 2003; 2018, № 52, ст. 8097; 2020, № 31, ст. 5029; 2021, № 1, ст. 32; № 18, ст. 3071) следующие изменения: 1) часть 9 изложить в следующей редакции: "9. Средства, полученные организаторами спортивных соревнований в виде целевых отчислений от азартных игр, направляются на финансирование мероприятий по развитию профессионального спорта, детско-юношеского спорта и массового спорта. На развитие детско-юношеского спорта и массового спорта направляется тридцать процентов общего объема целевых отчислений от азартных игр (при этом на развитие детско-юношеского спорта направляется не менее двадцати процентов). На развитие профессионального спорта направляется семьдесят процентов общего объема целевых отчислений от азартных игр.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по развитию профессионального спорта, детско-юношеского спорта и массового спорта, для профессиональных спортивных лиг в отношении финансирования мероприятий по развитию детско-юношеского спорта и массового спорта. Профессиональная спортивная лига распределяет и расходует средства, полученные в виде целевых отчислений от азартных игр, на развитие профессионального спорта в порядке, установленном данной профессиональной спортивной лигой. Профессиональные спортивные лиги обязаны размещать на своих официальных сайтах в сети "Интернет" порядок распределения и расходования средств, полученных в виде целевых отчислений от азартных игр, на развитие профессионального спорта."; 2) дополнить частями 11 и 12 следующего содержания: "11. Общероссийская спортивная федерация или профессиональная спортивная лига представляет в федеральный орган исполнительной власти в области физической культуры и спорта отчет о распределении и расходовании средств, полученных в виде целевых отчислений от азартных игр, в порядке и сроки, установленные Правительством Российской Федерации.</w:t>
      </w:r>
    </w:p>
    <w:p>
      <w:r>
        <w:rPr>
          <w:b/>
        </w:rPr>
        <w:t xml:space="preserve">12. </w:t>
      </w:r>
      <w:r>
        <w:t>Федеральный орган исполнительной власти в области физической культуры и спорта по результатам рассмотрения отчета о распределении и расходовании средств, полученных в виде целевых отчислений от азартных игр, в соответствии с правилами, утвержденными Правительством Российской Федерации на основании части 43 статьи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направляет в публично-правовую компанию "Единый регулятор азартных игр" следующую информацию</w:t>
      </w:r>
    </w:p>
    <w:p>
      <w:r>
        <w:rPr>
          <w:b/>
        </w:rPr>
        <w:t xml:space="preserve">12. </w:t>
      </w:r>
      <w:r>
        <w:t>о нарушении порядка распределения и расходования средств, полученных в виде целевых отчислений от азартных игр, предусмотренного частью 9 настоящей статьи</w:t>
      </w:r>
    </w:p>
    <w:p>
      <w:r>
        <w:rPr>
          <w:b/>
        </w:rPr>
        <w:t xml:space="preserve">12. </w:t>
      </w:r>
      <w:r>
        <w:t>об устранении выявленных нарушений порядка распределения и расходования средств, полученных в виде целевых отчислений от азартных игр, предусмотренного частью 9 настоящей статьи."</w:t>
      </w:r>
    </w:p>
    <w:p>
      <w:r>
        <w:rPr>
          <w:b/>
        </w:rPr>
        <w:t>Статья 3</w:t>
      </w:r>
    </w:p>
    <w:p>
      <w:r>
        <w:t>Пункт 2 части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4188, 4236; 2023, № 26, ст. 4680) изложить в следующей редакции: "2) осуществляет перечисление, приостановление, возобновление перечисления целевых отчислений, удержанных с организаторов азартных игр, общероссийским спортивным федерациям и профессиональным спортивным лигам;".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