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3287; 2009, № 29, ст. 3584; 2010, № 25, ст. 3070; 2011, № 49, ст. 7015; 2012, № 29, ст. 3998; № 53, ст. 7619; 2014, № 26, ст. 3377; № 30, ст. 4225; 2015, № 29, ст. 4362; 2016, № 27, ст. 4237; 2017, № 31, ст. 4767; 2018, № 1, ст. 90; № 28, ст. 4139; № 53, ст. 8404; 2019, № 26, ст. 3317; 2020, № 29, ст. 4512; 2021, № 1, ст. 33; № 18, ст. 3064; 2022, № 1, ст. 45) следующие изменения</w:t>
      </w:r>
    </w:p>
    <w:p>
      <w:r>
        <w:t>пункт 1 части 4 статьи 4 после слова "сейсмостойкости" дополнить словами ", об отнесении многоквартирного дома и (или) иного объекта недвижимости к уникальным объектам, если в проектной документации таких многоквартирного дома и (или) иного объекта недвижимости предусмотрена хотя бы одна из характеристик, являющаяся в соответствии с Градостроительным кодексом Российской Федерации основанием для их отнесения к уникальным объектам"</w:t>
      </w:r>
    </w:p>
    <w:p>
      <w:r>
        <w:t>в статье 6: а) часть 2 после слов "день просрочки" дополнить словами "(за исключением случая, установленного частью 21 настоящей статьи)"; б) дополнить частью 21 следующего содержания: "21. В случае нарушения на срок, не превышающий тридцати месяцев, предусмотренного договором срока передачи участнику долевого строительства объекта долевого строительства, входящего в состав многоквартирного дома и (или) иного объекта недвижимости, в проектной документации которых предусмотрена хотя бы одна из характеристик, являющаяся в соответствии с Градостроительным кодексом Российской Федерации основанием для отнесения таких многоквартирного дома и (или) иного объекта недвижимости к уникальным объектам, застройщик уплачивает участнику долевого строительства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просрочки, но не более пяти процентов от цены договора."</w:t>
      </w:r>
    </w:p>
    <w:p>
      <w:r>
        <w:t>часть 1 статьи 21 дополнить пунктом 51 следующего содержания: "51) об отнесении многоквартирного дома и (или) иного объекта недвижимости к уникальным объектам, если в проектной документации таких многоквартирного дома и (или) иного объекта недвижимости предусмотрена хотя бы одна из характеристик, являющаяся в соответствии с Градостроительным кодексом Российской Федерации основанием для их отнесения к уникальным объектам;"</w:t>
      </w:r>
    </w:p>
    <w:p>
      <w:r>
        <w:rPr>
          <w:b/>
        </w:rPr>
        <w:t>Статья 2</w:t>
      </w:r>
    </w:p>
    <w:p>
      <w:r>
        <w:t>В целях снижения негативных последствий введения в отношении Российской Федерации ограничительных мер экономического характера особенности применения неустойки (пеней), установленные частью 21 статьи 6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применяются к правоотношениям, возникшим из договоров участия в долевом строительстве, заключенных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