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9-1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45, ст. 4627; 2010, № 19, ст. 2291; 2014, № 30, ст. 4237; 2021, № 27, ст. 5179; 2022, № 29, ст. 5204) следующие изменения</w:t>
      </w:r>
    </w:p>
    <w:p>
      <w:r>
        <w:t>пункт 4 статьи 3 изложить в следующей редакции: "4. Некоммерческая организация вправе иметь печать с полным наименованием этой некоммерческой организации на русском языке, штампы и бланки со своим наименованием. Федеральным законом может быть предусмотрена обязанность некоммерческой организации использовать печать. Сведения о наличии печати должны содержаться в уставе некоммерческой организации."</w:t>
      </w:r>
    </w:p>
    <w:p>
      <w:r>
        <w:t>статью 91 дополнить пунктом 12 следующего содержания: "12. Государственные, муниципальные учреждения имеют печать с полным наименованием соответствующего государственного, муниципального учреждения на русском языке. Федеральными законами могут быть установлены иные требования к печатям государственных, муниципальных учреждений."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