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3302) изменение, дополнив его статьей 81 следующего содержания: "Статья 81 1. Если осуществление государственного кадастрового учета и (или) государственной регистрации прав в отношении объекта недвижимости в соответствии с Федеральным законом от 13 июля 2015 года № 218-ФЗ "О государственной регистрации недвижимости" может привести к разглашению сведений, составляющих государственную тайну, в случаях, предусмотренных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Федерации", государственной регистрации подлежит только право собственности Российской Федерации (иного публично-правового образования) на такой объект недвижимости. Договор аренды такого объекта недвижимости считается заключенным с момента его подписания сторонами. Право хозяйственного ведения, право оперативного управления в отношении такого объекта недвижимости, право постоянного (бессрочного) пользования земельным участком, право безвозмездного пользования земельным участком возникают с момента передачи соответствующего имущества.</w:t>
      </w:r>
    </w:p>
    <w:p>
      <w:r>
        <w:rPr>
          <w:b/>
        </w:rPr>
        <w:t xml:space="preserve">2. </w:t>
      </w:r>
      <w:r>
        <w:t>В случаях, предусмотренных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Федерации", сведения о находящихся в государственной собственности зданиях, сооружениях, помещениях, машино-местах, объектах незавершенного строительства, единых недвижимых комплексах, предприятиях как имущественных комплексах, составляющие государственную тайну, не вносятся в Единый государственный реестр недвижимости и право собственности Российской Федерации (иного публично-правового образования), другие вещные права на такие объекты недвижимости, ограничения этих прав и обременения таких объектов недвижимости не подлежат государственной регистрации. Право собственности Российской Федерации (иного публично-правового образования) на указанные в настоящем пункте объекты недвижимости возникает в силу федерального закона. Договор аренды такого объекта недвижимости считается заключенным с момента его подписания сторонами. Право хозяйственного ведения, право оперативного управления в отношении такого объекта недвижимости возникают с момента передачи соответствующего имущества."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