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Томаринского районного суда Сахалинской области и образовании постоянного судебного присутствия в составе Углегорского городского суда Сахалинской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Томаринский районный суд Сахалинской области, передав относящиеся к его ведению вопросы осуществления правосудия в юрисдикцию Углегорского городского суда Сахалинской области</w:t>
      </w:r>
    </w:p>
    <w:p>
      <w:r>
        <w:t>установить, что юрисдикция Углегорского городского суда Сахалинской области распространяется на территории Томаринского района Сахалинской области и Углегорского района Сахалинской области в границах, существующих на день вступления в силу настоящего Федерального закона</w:t>
      </w:r>
    </w:p>
    <w:p>
      <w:r>
        <w:t>образовать в составе Углегорского городского суда Сахалинской области постоянное судебное присутствие в городе Томари Томаринского района Сахалинской области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1 - 3 статьи 1 настоящего Федерального закона</w:t>
      </w:r>
    </w:p>
    <w:p>
      <w:r>
        <w:rPr>
          <w:b/>
        </w:rPr>
        <w:t xml:space="preserve">2. </w:t>
      </w:r>
      <w:r>
        <w:t>Пункты 1 - 3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