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 силу пункта 3 статьи 1 Федерального закона "О территориальной юрисдикции окружных (флотских) военных судов"</w:t>
      </w:r>
    </w:p>
    <w:p>
      <w:r>
        <w:rPr>
          <w:b/>
        </w:rPr>
        <w:t>Статья 1</w:t>
      </w:r>
    </w:p>
    <w:p>
      <w:r>
        <w:t>Пункт 3 статьи 1 Федерального закона от 27 декабря 2009 года № 345-ФЗ "О территориальной юрисдикции окружных (флотских) военных судов" (Собрание законодательства Российской Федерации, 2009, № 52, ст. 6421; 2014, № 26, ст. 3360) признать утратившим силу.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