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 и 36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2013, № 52, ст. 6961; 2023, № 1, ст. 28) следующие изменения: 1) статью 33 изложить в следующей редакции: "Статья 33. Исключение из списков сотрудников Следственного комитета 1. Погибший (умерший) сотрудник Следственного комитета (кроме военнослужащего) исключается из списков сотрудников Следственного комитета со дня его гибели (смерти), а сотрудник Следственного комитета (кроме военнослужащего), в установленном порядке признанный безвестно отсутствующим или объявленный умершим, со дня вступления в силу соответствующего решения суда.</w:t>
      </w:r>
    </w:p>
    <w:p>
      <w:r>
        <w:rPr>
          <w:b/>
        </w:rPr>
        <w:t xml:space="preserve">2. </w:t>
      </w:r>
      <w:r>
        <w:t>Трудовой договор с сотрудниками Следственного комитета (кроме военнослужащих), указанными в части 1 настоящей статьи, прекращается одновременно с исключением их из списков сотрудников Следственного комитета.";</w:t>
      </w:r>
    </w:p>
    <w:p>
      <w:r>
        <w:rPr>
          <w:b/>
        </w:rPr>
        <w:t xml:space="preserve">2. </w:t>
      </w:r>
      <w:r>
        <w:t>в части 6 статьи 36 после слов "находившимся на его иждивении," дополнить словами "а также его ребенку, который родился после его гибели (смерти) и в отношении которого отцовство установлено в соответствии с пунктами 2 и 3 статьи 48, со статьями 49 и 50 Семейного кодекса Российской Федерации,", слова "находившихся на его иждивении" заменить словами "указанных в настоящей части"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Федерального закона от 28 декабря 2010 года № 403-ФЗ "О Следственном комитете Российской Федерации" (в редакции настоящего Федерального закона), осуществляется за счет средств федерального бюджета в пределах бюджетных ассигнований, предусмотренных Следственному комитету Российской Федерации.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6 статьи 36 Федерального закона от 28 декабря 2010 года № 403-ФЗ "О Следственном комитете Российской Федерации" (в редакции настоящего Федерального закона) распространяется на ребенка сотрудника Следственного комитета Российской Федерации, который родился после его гибели (смерти), в том числе до дня вступления в силу настоящего Федерального закона, и в отношении которого отцовство установлено в соответствии с пунктами 2 и 3 статьи 48, со статьями 49 и 50 Семейного кодекса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