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"Об информации, информационных технологиях и о защите информации"</w:t>
      </w:r>
    </w:p>
    <w:p>
      <w:r>
        <w:rPr>
          <w:b/>
        </w:rPr>
        <w:t>Статья 1</w:t>
      </w:r>
    </w:p>
    <w:p>
      <w:r>
        <w:t>Внести в пункт 1 части 10 статьи 8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2019, № 49, ст. 6986; 2021, № 11, ст. 1704; 2023, № 32, ст. 6138) изменение, изложив его в следующей редакции: "1) с использованием абонентского номера оператора подвижной радиотелефонной связи;".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До 1 января 2025 года владелец сайта и (или) страницы сайта в сети "Интернет", и (или) информационной системы, и (или) программы для электронных вычислительных машин, являющийся российским юридическим лицом или гражданином Российской Федерации и осуществляющий свою деятельность в сети "Интернет" на территории Российской Федерации, в случае, если доступ к информации, размещенной на его сайте и (или) странице сайта в сети "Интернет", и (или) в его информационной системе, и (или) программе для электронных вычислительных машин, предоставляется пользователям, прошедшим авторизацию (далее - владелец информационного ресурса), может проводить ее в отношении пользователей, находящихся на территории Российской Федерации, наряду со способами, предусмотренными частью 10 статьи 8 Федерального закона от 27 июля 2006 года № 149-ФЗ "Об информации, информационных технологиях и о защите информации" (в редакции настоящего Федерального закона), также с использованием информационной системы, обеспечивающей авторизацию пользователей сайтов и (или) страниц сайтов в сети "Интернет", и (или) информационных систем, и (или) программ для электронных вычислительных машин и соответствующей требованиям о защите информации, установленным статьей 16 Федерального закона от 27 июля 2006 года № 149-ФЗ "Об информации, информационных технологиях и о защите информации", владельцем которой является одно из следующих лиц</w:t>
      </w:r>
    </w:p>
    <w:p>
      <w:r>
        <w:rPr>
          <w:b/>
        </w:rPr>
        <w:t xml:space="preserve">3. </w:t>
      </w:r>
      <w:r>
        <w:t>Под контролем в случаях, предусмотренных пунктами 2 - 5 части 2 настоящей статьи, понимается возможность определять решения, принимаемые российским юридическим лицом, в силу наличия права прямо или косвенно распоряжаться более чем пятьюдесятью процентами общего количества голосов, приходящихся на голосующие акции (доли), составляющие уставный капитал данного российского юридического лица</w:t>
      </w:r>
    </w:p>
    <w:p>
      <w:r>
        <w:rPr>
          <w:b/>
        </w:rPr>
        <w:t xml:space="preserve">2. </w:t>
      </w:r>
      <w:r>
        <w:t>владелец информационного ресурса</w:t>
      </w:r>
    </w:p>
    <w:p>
      <w:r>
        <w:rPr>
          <w:b/>
        </w:rPr>
        <w:t xml:space="preserve">2. </w:t>
      </w:r>
      <w:r>
        <w:t>российское юридическое лицо, находящееся под контролем владельца информационного ресурса</w:t>
      </w:r>
    </w:p>
    <w:p>
      <w:r>
        <w:rPr>
          <w:b/>
        </w:rPr>
        <w:t xml:space="preserve">2. </w:t>
      </w:r>
      <w:r>
        <w:t>российское юридическое лицо, под контролем которого находится владелец информационного ресурса</w:t>
      </w:r>
    </w:p>
    <w:p>
      <w:r>
        <w:rPr>
          <w:b/>
        </w:rPr>
        <w:t xml:space="preserve">2. </w:t>
      </w:r>
      <w:r>
        <w:t>российское юридическое лицо, находящееся под контролем того же юридического лица, что и владелец информационного ресурса</w:t>
      </w:r>
    </w:p>
    <w:p>
      <w:r>
        <w:rPr>
          <w:b/>
        </w:rPr>
        <w:t xml:space="preserve">2. </w:t>
      </w:r>
      <w:r>
        <w:t>российское юридическое лицо, находящееся под контролем юридического лица, участником (одним из участников) которого является международный фонд, созданный в соответствии со статьями 121 и 122 Федерального закона от 3 августа 2018 года № 290-ФЗ "О международных компаниях и международных фондах"</w:t>
      </w:r>
    </w:p>
    <w:p>
      <w:r>
        <w:rPr>
          <w:b/>
        </w:rPr>
        <w:t xml:space="preserve">2. </w:t>
      </w:r>
      <w:r>
        <w:t>российское хозяйственное общество, признанное экономически значимой организацией в соответствии со статьей 2 Федерального закона от 4 августа 2023 года № 470-ФЗ "Об особенностях регулирования корпоративных отношений в хозяйственных обществах, являющихся экономически значимыми организациями", или его дочернее общество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