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молодежной политике в Российской Федерации"</w:t>
      </w:r>
    </w:p>
    <w:p>
      <w:r>
        <w:rPr>
          <w:b/>
        </w:rPr>
        <w:t>Статья 1</w:t>
      </w:r>
    </w:p>
    <w:p>
      <w:r>
        <w:t>Внести в Федеральный закон от 30 декабря 2020 года № 489-ФЗ "О молодежной политике в Российской Федерации" (Собрание законодательства Российской Федерации, 2021, № 1, ст. 28) следующие изменения</w:t>
      </w:r>
    </w:p>
    <w:p>
      <w:r>
        <w:t>в статье 2: а) пункт 6 дополнить словами ", в том числе имеющий трудовой стаж, полученный в период обучения по основным профессиональным образовательным программам и (или) по программам профессионального обучения"; б) дополнить пунктом 10 следующего содержания: "10) молодой работник - гражданин Российской Федерации в возрасте до 35 лет включительно (за исключением случаев, предусмотренных частью 3 статьи 6 настоящего Федерального закона), имеющий трудовой стаж не более трех лет и не относящийся к категории "молодой специалист"."</w:t>
      </w:r>
    </w:p>
    <w:p>
      <w:r>
        <w:t>в статье 3 слова "и иные нормативные правовые акты субъектов Российской Федерации и муниципальные правовые акты" заменить словами "и иные нормативные правовые акты субъектов Российской Федерации, нормативные правовые акты органов публичной власти федеральной территории "Сириус", муниципальные правовые акты"</w:t>
      </w:r>
    </w:p>
    <w:p>
      <w:r>
        <w:t>в статье 6: а) пункт 14 части 1 дополнить словами "и молодых работников"; б) часть 2 изложить в следующей редакции: "2. Реализация основных направлений молодежной политики, указанных в части 1 настоящей статьи, осуществляется в соответствии с законодательством Российской Федерации, иными нормативными правовыми актами Российской Федерации, законодательством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 с учетом социальных потребностей молодежи, национальных традиций, региональных, местных и этнокультурных особенностей субъектов Российской Федерации, в том числе в рамках государственных программ Российской Федерации, федеральных целевых программ, государственных программ субъектов Российской Федерации, муниципальных программ, предусматривающих мероприятия по поддержке молодежи, молодых семей и молодежных общественных объединений, с использованием инфраструктуры молодежной политики."; в) часть 3 изложить в следующей редакции: "3.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 актами высших должностных лиц субъектов Российской Федерации, актами высших исполнительных органов субъектов Российской Федерации, нормативными правовыми актами органов публичной власти федеральной территории "Сириус" при реализации молодежной политики, в том числе при установлении мер поддержки отдельным категориям молодых граждан, молодых семей, молодых специалистов и молодых работников, может устанавливаться иной максимальный возраст, чем предусмотрено пунктами 1 - 3, 6, 7 и 10 статьи 2 настоящего Федерального закона, но не менее 35 лет включительно."</w:t>
      </w:r>
    </w:p>
    <w:p>
      <w:r>
        <w:t>пункт 2 статьи 7 изложить в следующей редакции: "2) организация, проведение и участие во всероссийских молодежных и международных молодежных форумах, в форумах молодежи субъектов Российской Федерации, иных форумах, в том числе проектах, связанных с вовлечением молодежи в трудовую деятельность, а также в других мероприятиях в сфере молодежной политики;"</w:t>
      </w:r>
    </w:p>
    <w:p>
      <w:r>
        <w:t>пункт 2 части 3 статьи 12 изложить в следующей редакции: "2) на уровне субъекта Российской Федерации - уполномоченным высшим исполнительным органом субъекта Российской Федерации, исполнительным органом субъекта Российской Федерации;"</w:t>
      </w:r>
    </w:p>
    <w:p>
      <w:r>
        <w:t>в пункте 3 части 3 статьи 13 слова "в области государственной" заменить словами "в сфере"</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Если у лиц, отнесенных к категориям "молодой специалист" и "молодой работник" на основании законов и иных нормативных правовых актов субъектов Российской Федерации, муниципальных правовых актов, а также отраслевых и региональных (территориальных) соглашений и коллективных договоров, право на гарантии, льготы, компенсации либо иные выплаты возникло до дня вступления в силу настоящего Федерального закона, то такие лица могут его реализовать в порядке, действовавшем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