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регулирования корпоративных отношений в хозяйственных обществах, являющихся экономически значимыми организациями" и статью 3 Федерального закона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(Собрание законодательства Российской Федерации, 2023, № 32, ст. 6202; 2024, № 1, ст. 17) следующие изменения: 1) в части 1 статьи 2: а) подпункт "а" пункта 1 дополнить словами "либо объем выручки хозяйственного общества, предусмотренного подпунктом "з" пункта 2 настоящей части, превышает десять миллиардов рублей"; б) пункт 2 дополнить подпунктом "з" следующего содержания: "з) хозяйственное общество включено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 (при условии, что хозяйственное общество одновременно соответствует критерию, предусмотренному подпунктом "а" пункта 1 настоящей части);"; в) в пункте 3 слово "более" заменить словами "не менее чем"; 2) в пункте 4 части 2 статьи 5 слово "более" заменить словами "не менее чем"; 3) в статье 10: а) в части 1 слово "более" заменить словами "не менее чем"; б) в части 2 слово "более" заменить словами "не менее чем"; в) в части 13 слова "более чем" заменить словами "не менее чем"; 4) дополнить статьей 121 следующего содержания: "Статья 121. Особенности осуществления корпоративных прав в отношении экономически значимой организации иностранным юридическим лицом, не являющимся иностранной холдинговой компанией 1. В случае наступления обстоятельства, указанного в абзаце первом части 1 статьи 6 настоящего Федерального закона, в отношении иностранного юридического лица, которое не является иностранной холдинговой компанией, связано с иностранными государствами, совершающими в отношении Российской Федерации, российских юридических и физических лиц недружественные действия, и которому прямо принадлежит не менее чем 5 процентов голосующих акций (долей в уставном капитале) экономически значимой организации (далее - миноритарный участник), могут быть применены следующие меры: 1) приостановление осуществления миноритарным участником корпоративных прав в отношении экономически значимой организации; 2) получение лицами, косвенно владеющими акциями (долями в уставном капитале) экономически значимой организации, принадлежащими миноритарному участнику, напрямую от экономически значимой организации дивидендов (части прибыли, предназначенной для распределения между ее участниками).</w:t>
      </w:r>
    </w:p>
    <w:p>
      <w:r>
        <w:rPr>
          <w:b/>
        </w:rPr>
        <w:t xml:space="preserve">2. </w:t>
      </w:r>
      <w:r>
        <w:t>С заявлением о приостановлении осуществления миноритарным участником корпоративных прав в отношении экономически значимой организации в арбитражный суд вправе обратиться</w:t>
      </w:r>
    </w:p>
    <w:p>
      <w:r>
        <w:rPr>
          <w:b/>
        </w:rPr>
        <w:t xml:space="preserve">3. </w:t>
      </w:r>
      <w:r>
        <w:t>С заявлением о получении напрямую от экономически значимой организации дивидендов (части прибыли, предназначенной для распределения между ее участниками) в арбитражный суд вправе обратиться лица, указанные в пункте 1 части 2 настоящей статьи</w:t>
      </w:r>
    </w:p>
    <w:p>
      <w:r>
        <w:rPr>
          <w:b/>
        </w:rPr>
        <w:t xml:space="preserve">4. </w:t>
      </w:r>
      <w:r>
        <w:t>Основанием для применения предусмотренных настоящей статьей мер является совершение миноритарным участником действий (допущение им бездействия), указанных в статье 4 настоящего Федерального закона</w:t>
      </w:r>
    </w:p>
    <w:p>
      <w:r>
        <w:rPr>
          <w:b/>
        </w:rPr>
        <w:t xml:space="preserve">5. </w:t>
      </w:r>
      <w:r>
        <w:t>Заявления о приостановлении осуществления миноритарным участником корпоративных прав в отношении экономически значимой организации, о получении напрямую от экономически значимой организации дивидендов (части прибыли, предназначенной для распределения между ее участниками) подлежат рассмотрению Арбитражным судом Московской области с учетом особенностей, установленных статьями 5 и 10 настоящего Федерального закона</w:t>
      </w:r>
    </w:p>
    <w:p>
      <w:r>
        <w:rPr>
          <w:b/>
        </w:rPr>
        <w:t xml:space="preserve">6. </w:t>
      </w:r>
      <w:r>
        <w:t>Споры по делам о приостановлении осуществления миноритарным участником корпоративных прав в отношении экономически значимой организации, о получении напрямую от экономически значимой организации дивидендов (части прибыли, предназначенной для распределения между ее участниками) могут быть переданы на рассмотрение арбитражного суда после предварительного получения заявителем заключения Правительственной комиссии по контролю за осуществлением иностранных инвестиций в Российской Федерации о наличии обстоятельств, предусмотренных статьей 4 настоящего Федерального закона. Порядок и сроки выдачи предусмотренного настоящей частью заключения устанавливаются Правительством Российской Федерации</w:t>
      </w:r>
    </w:p>
    <w:p>
      <w:r>
        <w:rPr>
          <w:b/>
        </w:rPr>
        <w:t xml:space="preserve">7. </w:t>
      </w:r>
      <w:r>
        <w:t>В случае удовлетворения арбитражным судом заявления о приостановлении осуществления миноритарным участником корпоративных прав в отношении экономически значимой организации к миноритарному участнику и лицам, указанным в пункте 1 части 2 настоящей статьи, применяются последствия, предусмотренные статьями 6 - 9 настоящего Федерального закона для иностранной холдинговой компании и лиц, указанных в пункте 1 части 1 статьи 7 настоящего Федерального закона</w:t>
      </w:r>
    </w:p>
    <w:p>
      <w:r>
        <w:rPr>
          <w:b/>
        </w:rPr>
        <w:t xml:space="preserve">8. </w:t>
      </w:r>
      <w:r>
        <w:t>В случае удовлетворения арбитражным судом заявления о получении напрямую от экономически значимой организации дивидендов (части прибыли, предназначенной для распределения между ее участниками) к миноритарному участнику применяются последствия, предусмотренные статьей 10 настоящего Федерального закона для иностранной холдинговой компании</w:t>
      </w:r>
    </w:p>
    <w:p>
      <w:r>
        <w:rPr>
          <w:b/>
        </w:rPr>
        <w:t xml:space="preserve">9. </w:t>
      </w:r>
      <w:r>
        <w:t>Положения настоящей статьи не применяются к миноритарному участнику (акционеру) экономически значимой организации, являющейся публичным акционерным обществом</w:t>
      </w:r>
    </w:p>
    <w:p>
      <w:r>
        <w:rPr>
          <w:b/>
        </w:rPr>
        <w:t xml:space="preserve">10. </w:t>
      </w:r>
      <w:r>
        <w:t>Для целей настоящего Федерального закона лицами, косвенно владеющими долями в уставном капитале (акциями) экономически значимой организации, принадлежащими миноритарному участнику, признаются лица, отвечающие признакам, указанным в части 2 статьи 7 настоящего Федерального закона, как если бы миноритарный участник являлся иностранной холдинговой компанией.";</w:t>
      </w:r>
    </w:p>
    <w:p>
      <w:r>
        <w:rPr>
          <w:b/>
        </w:rPr>
        <w:t xml:space="preserve">2. </w:t>
      </w:r>
      <w:r>
        <w:t>лица, косвенно владеющие акциями (долями в уставном капитале) экономически значимой организации, принадлежащими миноритарному участнику, и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при условии, что доля их прямого и (или) косвенного участия в уставном капитале миноритарного участника составляет более 50 процентов</w:t>
      </w:r>
    </w:p>
    <w:p>
      <w:r>
        <w:rPr>
          <w:b/>
        </w:rPr>
        <w:t xml:space="preserve">2. </w:t>
      </w:r>
      <w:r>
        <w:t>федеральный орган исполнительной власти, уполномоченный Правительством Российской Федерации</w:t>
      </w:r>
    </w:p>
    <w:p>
      <w:r>
        <w:rPr>
          <w:b/>
        </w:rPr>
        <w:t xml:space="preserve">10. </w:t>
      </w:r>
      <w:r>
        <w:t>статью 13 дополнить частью 6 следующего содержания: "6. Для целей настоящего Федерального закона допускается:</w:t>
      </w:r>
    </w:p>
    <w:p>
      <w:r>
        <w:rPr>
          <w:b/>
        </w:rPr>
        <w:t xml:space="preserve">10. </w:t>
      </w:r>
      <w:r>
        <w:t>безвозмездная передача личному фонду, в том числе международному личному фонду, права на вступление в прямое владение акциями (долями в уставном капитале) экономически значимой организации, принадлежащего лицу, указанному в части 1 статьи 7 и (или) пункте 1 части 2 статьи 121 настоящего Федерального закона и не являющемуся учредителем личного фонда, в том числе международного личного фонда, на основании части 6 статьи 7 и (или) части 7 статьи 121 настоящего Федерального закона</w:t>
      </w:r>
    </w:p>
    <w:p>
      <w:r>
        <w:rPr>
          <w:b/>
        </w:rPr>
        <w:t xml:space="preserve">10. </w:t>
      </w:r>
      <w:r>
        <w:t>безвозмездное распределение акций (долей в уставном капитале) экономически значимой организации личному фонду, в том числе международному личному фонду, на основании части 9 статьи 7 и (или) части 7 статьи 121 настоящего Федерального закона."</w:t>
      </w:r>
    </w:p>
    <w:p>
      <w:r>
        <w:rPr>
          <w:b/>
        </w:rPr>
        <w:t>Статья 2</w:t>
      </w:r>
    </w:p>
    <w:p>
      <w:r>
        <w:t>В части 11 статьи 3 Федерального закона от 14 марта 2022 года № 55-ФЗ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(Собрание законодательства Российской Федерации, 2022, № 12, ст. 1782; № 52, ст. 9349; 2024, № 1, ст. 6) слова "1 июля 2024 года" заменить словами "1 января 2026 года", дополнить словами ", в случае, если в отношении общества действуют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а также в иных случаях, которые аналогичны случаям, определенным Правительством Российской Федерации в соответствии со статьей 922 Федерального закона от 26 декабря 1995 года № 208-ФЗ "Об акционерных обществах" и с пунктом 6 статьи 301 Федерального закона от 22 апреля 1996 года № 39-ФЗ "О рынке ценных бумаг".</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