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.15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абзац первый части 2 статьи 13.15 Кодекса Российской Федерации об административных правонарушениях (Собрание законодательства Российской Федерации, 2002, № 1, ст. 1; 2010, № 1, ст. 1; 2013, № 14, ст. 1658; 2014, № 19, ст. 2333; № 48, ст. 6651; 2015, № 18, ст. 2619; 2016, № 28, ст. 4558; 2017, № 31, ст. 4827; 2018, № 53, ст. 8447; 2019, № 12, ст. 1217; 2020, № 14, ст. 2029; № 50, ст. 8065; 2021, № 9, ст. 1461; № 15, ст. 2425; № 18, ст. 3046; № 27, ст. 5060; 2023, № 1, ст. 69; № 12, ст. 1870; № 25, ст. 4420; 2024, № 33, ст. 4913) изменение, изложив его в следующей редакции: "2. Распространение информации об организации, включенной в опубликованный перечень организаций, признанных в соответствии с законодательством Российской Федерации экстремистскими, или об организации, включенной в опубликованный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без указания на то, что соответствующая организация ликвидирована или ее деятельность запрещена, -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