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техническом регулировании"</w:t>
      </w:r>
    </w:p>
    <w:p>
      <w:r>
        <w:rPr>
          <w:b/>
        </w:rPr>
        <w:t>Статья 1</w:t>
      </w:r>
    </w:p>
    <w:p>
      <w:r>
        <w:t>Внести в главу 1 Федерального закона от 27 декабря 2002 года № 184-ФЗ "О техническом регулировании" (Собрание законодательства Российской Федерации, 2002, № 52, ст. 5140) изменение, дополнив ее статьей 58 следующего содержания: "Статья 58. Особенности технического регулирования в отношении средств индивидуальной защиты населения в области гражданской обороны, разработанных либо модифицированных для защиты от бактериологических (биологических) агентов и радиоактивных материалов, которые могут быть использованы в военных целях, от токсичных химических веществ, используемых в химическом оружии, специально разработанных для них компонентов 1. В отношении средств индивидуальной защиты населения в области гражданской обороны, разработанных либо модифицированных для защиты от бактериологических (биологических) агентов и радиоактивных материалов, которые могут быть использованы в военных целях, от токсичных химических веществ, используемых в химическом оружии, специально разработанных для них компонентов, а также процессов проектирования, производства, эксплуатации, хранения, перевозки, реализации и утилизации указанной продукции обязательными требованиями наряду с требованиями технических регламентов и документов по стандартизации оборонной продукции являются требования, установленные федеральным органом исполнительной власти, уполномоченным в области обороны, совместно с федеральным органом исполнительной власти, уполномоченным на решение задач в области гражданской обороны, защиты населения и территорий от чрезвычайных ситуаций природного и техногенного характера.</w:t>
      </w:r>
    </w:p>
    <w:p>
      <w:r>
        <w:rPr>
          <w:b/>
        </w:rPr>
        <w:t xml:space="preserve">2. </w:t>
      </w:r>
      <w:r>
        <w:t>Особенности оценки соответствия продукции, указанной в пункте 1 настоящей статьи, а также процессов ее проектирования, производства, эксплуатации, хранения, перевозки, реализации и утилизации устанавливаются Правительством Российской Федерации или уполномоченными им федеральными органами исполнительной власти."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