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промышленной политике в Российской Федерации"</w:t>
      </w:r>
    </w:p>
    <w:p>
      <w:r>
        <w:rPr>
          <w:b/>
        </w:rPr>
        <w:t>Статья 172. Комплексное строительство промышленных объектов на территориях иностранных государств</w:t>
      </w:r>
    </w:p>
    <w:p>
      <w:r>
        <w:rPr>
          <w:b/>
        </w:rPr>
        <w:t xml:space="preserve">1. </w:t>
      </w:r>
      <w:r>
        <w:t>Комплексное строительство промышленных объектов на территориях иностранных государств осуществляется субъектами деятельности в сфере промышленности и (или) российскими организациями, входящими в состав инфраструктуры поддержки деятельности в сфере промышленности, в целях развития экспортного потенциала Российской Федерации и продвижения на рынки иностранных государств российской промышленной продукции</w:t>
      </w:r>
    </w:p>
    <w:p>
      <w:r>
        <w:rPr>
          <w:b/>
        </w:rPr>
        <w:t xml:space="preserve">2. </w:t>
      </w:r>
      <w:r>
        <w:t>При предоставлении поддержки в соответствии с пунктом 2 статьи 17 настоящего Федерального закона Правительство Российской Федерации устанавливает требования к минимальной доле российской промышленной продукции (в стоимостном и (или) количественном выражении), которая используется при осуществлении комплексного строительства промышленных объектов на территориях иностранных государств. В случае предоставления финансовой поддержки субъектам деятельности в сфере промышленности или организациям, входящим в состав инфраструктуры поддержки деятельности в сфере промышленности, в форме предоставления субсидии из федерального бюджета в соответствии со статьями 78 и 781 Бюджетного кодекса Российской Федерации требования к минимальной доле российской промышленной продукции (в стоимостном и (или) количественном выражении), которая используется при осуществлении комплексного строительства промышленных объектов на территориях иностранных государств, устанавливает уполномоченный орган</w:t>
      </w:r>
    </w:p>
    <w:p>
      <w:r>
        <w:rPr>
          <w:b/>
        </w:rPr>
        <w:t xml:space="preserve">3. </w:t>
      </w:r>
      <w:r>
        <w:t>Меры стимулирования деятельности в сфере промышленности в целях, указанных в части 1 настоящей статьи, осуществляются в соответствии с государственными программами (подпрограммами) Российской Федерации.". Президент Российской Федерации В.Путин Москва, Кремль 26 октября 2024 года № 357-ФЗ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