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82 Уголовного кодекса Российской Федерации и статью 398 Уголовно-процессуального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В части первой статьи 82 Уголовного кодекса Российской Федерации (Собрание законодательства Российской Федерации, 1996, № 25, ст. 2954; 2010, № 8, ст. 780; № 41, ст. 5199; 2012, № 10, ст. 1162; 2014, № 19, ст. 2335; 2016, № 28, ст. 4559; 2017, № 11, ст. 1542) слова "ограничения свободы," исключить.</w:t>
      </w:r>
    </w:p>
    <w:p>
      <w:r>
        <w:rPr>
          <w:b/>
        </w:rPr>
        <w:t>Статья 2</w:t>
      </w:r>
    </w:p>
    <w:p>
      <w:r>
        <w:t>В пункте 2 части первой статьи 398 Уголовно-процессуального кодекса Российской Федерации (Собрание законодательства Российской Федерации, 2001, № 52, ст. 4921; 2003, № 50, ст. 4847; 2009, № 52, ст. 6453; 2010, № 8, ст. 780; 2011, № 50, ст. 7362; 2012, № 10, ст. 1162; 2017, № 1, ст. 32; 2018, № 9, ст. 1288; № 18, ст. 2566) слова "ограничения свободы," исключить.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