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Фонде перспективных исследований"</w:t>
      </w:r>
    </w:p>
    <w:p>
      <w:r>
        <w:rPr>
          <w:b/>
        </w:rPr>
        <w:t>Статья 1</w:t>
      </w:r>
    </w:p>
    <w:p>
      <w:r>
        <w:t>Внести в статью 5 Федерального закона от 16 октября 2012 года № 174-ФЗ "О Фонде перспективных исследований" (Собрание законодательства Российской Федерации, 2012, № 43, ст. 5787) изменения, дополнив ее частями 3 и 4 следующего содержания: "3. Финансирование мероприятий и проектов, предусмотренных пунктами 3 и 4 части 2 статьи 3 настоящего Федерального закона, осуществляется с применением банковского сопровождения в опорном банке для оборонно-промышленного комплекса, определенном Федеральным законом от 29 декабря 2012 года № 275-ФЗ "О государственном оборонном заказе".</w:t>
      </w:r>
    </w:p>
    <w:p>
      <w:r>
        <w:rPr>
          <w:b/>
        </w:rPr>
        <w:t xml:space="preserve">4. </w:t>
      </w:r>
      <w:r>
        <w:t>Порядок банковского сопровождения договоров о выполнении мероприятий и проектов, предусмотренных пунктами 3 и 4 части 2 статьи 3 настоящего Федерального закона,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Установить, что в договоры о выполнении мероприятий и проектов, предусмотренных пунктами 3 и 4 части 2 статьи 3 Федерального закона от 16 октября 2012 года № 174-ФЗ "О Фонде перспективных исследований", включается условие об осуществлении расчетов только с использованием отдельных счетов, открытых в опорном банке для оборонно-промышленного комплекса, определенном Федеральным законом от 29 декабря 2012 года № 275-ФЗ "О государственном оборонном заказе", независимо от организационно-правовой формы исполнителей, участвующих в реализации указанных договоров.</w:t>
      </w:r>
    </w:p>
    <w:p>
      <w:r>
        <w:rPr>
          <w:b/>
        </w:rPr>
        <w:t>Статья 3</w:t>
      </w:r>
    </w:p>
    <w:p>
      <w:r>
        <w:t>Условия договоров о выполнении мероприятий и проектов, предусмотренных пунктами 3 и 4 части 2 статьи 3 Федерального закона от 16 октября 2012 года № 174-ФЗ "О Фонде перспективных исследований", заключенных до дня вступления в силу настоящего Федерального закона, должны быть приведены в соответствие со статьей 2 настоящего Федерального закона до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