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и деятельности общественных палат субъектов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