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105-14 части первой и часть вторую Налогового кодекса Российской Федерации</w:t>
      </w:r>
    </w:p>
    <w:p>
      <w:r>
        <w:rPr>
          <w:b/>
        </w:rPr>
        <w:t>Статья 1</w:t>
      </w:r>
    </w:p>
    <w:p>
      <w:r>
        <w:t>В подпункте 8 пункта 2 статьи 10514 части первой Налогового кодекса Российской Федерации (Собрание законодательства Российской Федерации, 1998, № 31, ст. 3824; 2011, № 30, ст. 4575; № 47, ст. 6611; 2013, № 40, ст. 5037, 5038; № 52, ст. 6985; 2014, № 14, ст. 1544; № 48, ст. 6660; 2016, № 22, ст. 3092; № 49, ст. 6844; 2017, № 1, ст. 16; № 49, ст. 7307; 2018, № 30, ст. 4534; № 32, ст. 5095; № 45, ст. 6828; 2019, № 23, ст. 2908; № 39, ст. 5375; 2021, № 8, ст. 1196; № 27, ст. 5133; 2022, № 13, ст. 1956; 2023, № 49, ст. 8656; № 52, ст. 9508) слова "части второй настоящего Кодекса" заменить словами "настоящего Кодекса, либо участником Военного инновационного технополиса "Эра" Министерства обороны Российской Федерации в соответствии с Федеральным законом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применяющим освобождение от исполнения обязанностей налогоплательщика налога на добавленную стоимость в соответствии со статьей 1452 настоящего Кодекса".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2002, № 22, ст. 2026; 2003, № 28, ст. 2886; 2004, № 27, ст. 2711; 2005, № 30, ст. 3130; 2007, № 23, ст. 2691; 2010, № 40, ст. 4969; № 48, ст. 6247; 2014, № 16, ст. 1838; № 48, ст. 6647; 2016, № 27, ст. 4176; № 52, ст. 7497; 2017, № 1, ст. 16; № 49, ст. 7307, 7325; 2018, № 1, ст. 20; № 18, ст. 2565; № 32, ст. 5090, 5093, 5096; № 45, ст. 6828; № 49, ст. 7498; 2019, № 16, ст. 1826; № 30, ст. 4112; № 39, ст. 5374, 5375; 2020, № 14, ст. 2032; № 29, ст. 4514; № 31, ст. 5024; № 46, ст. 7212; № 48, ст. 7627; 2021, № 24, ст. 4216; № 27, ст. 5133; № 49, ст. 8145, 8146; 2022, № 11, ст. 1600; № 18, ст. 3007; № 27, ст. 4626; № 29, ст. 5206, 5288, 5290, 5301; № 45, ст. 7675; № 48, ст. 8309; 2023, № 12, ст. 1877; № 26, ст. 4676; № 32, ст. 6121; № 52, ст. 9508; 2024, № 1, ст. 10; № 26, ст. 3550; № 29, ст. 4105; № 33, ст. 4955, 4990; № 41, ст. 6062; № 45, ст. 6694) следующие изменения: 1) в абзаце первом пункта 2 статьи 145 слова "статье 1451" заменить словами "статьях 1451 и 1452"; 2) дополнить статьей 1452 следующего содержания: "Статья 1452.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 1. 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законом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 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 Участник Технополиса имеет право на освобождение при условии, что он не применяет упрощенной системы налогообложения. 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r>
        <w:rPr>
          <w:b/>
        </w:rPr>
        <w:t xml:space="preserve">2. </w:t>
      </w:r>
      <w:r>
        <w:t>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уведомления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r>
        <w:rPr>
          <w:b/>
        </w:rPr>
        <w:t xml:space="preserve">3. </w:t>
      </w:r>
      <w:r>
        <w:t>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 Такой отказ возможен только в отношении всех осуществляемых участником Технополиса операций. 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
        <w:rPr>
          <w:b/>
        </w:rPr>
        <w:t xml:space="preserve">4. </w:t>
      </w:r>
      <w:r>
        <w:t>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 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r>
        <w:rPr>
          <w:b/>
        </w:rPr>
        <w:t xml:space="preserve">5. </w:t>
      </w:r>
      <w:r>
        <w:t>Участник Технополиса утрачивает право на освобождение в случае наступления хотя бы одного из следующих обстоятельств</w:t>
      </w:r>
    </w:p>
    <w:p>
      <w:r>
        <w:rPr>
          <w:b/>
        </w:rPr>
        <w:t xml:space="preserve">6. </w:t>
      </w:r>
      <w:r>
        <w:t>Суммы налога, принятые участником Технополиса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 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
        <w:rPr>
          <w:b/>
        </w:rPr>
        <w:t xml:space="preserve">7. </w:t>
      </w:r>
      <w:r>
        <w:t>Форма и формат уведомлений, предусмотренных настоящей статьей, форма и формат расчета совокупного размера выручки, порядок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в срок и порядке, которые предусмотрены пунктом 2 статьи 1452 настоящего Кодекса, уведомления об использовании права на освобождение от исполнения обязанностей налогоплательщика</w:t>
      </w:r>
    </w:p>
    <w:p>
      <w:r>
        <w:rPr>
          <w:b/>
        </w:rPr>
        <w:t xml:space="preserve">3. </w:t>
      </w:r>
      <w:r>
        <w:t>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 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
        <w:rPr>
          <w:b/>
        </w:rPr>
        <w:t xml:space="preserve">4. </w:t>
      </w:r>
      <w:r>
        <w:t>Участник Технополиса представляет в налоговый орган по месту своего учета расчет совокупного размера полученной выручки в сроки и порядке, которые предусмотрены пунктом 4 статьи 1452 настоящего Кодекса. В случае, если совокупный размер полученной выручки, рассчитанный в соответствии с пунктом 4 статьи 1452 настоящего Кодекса, превысил 1 миллиард рублей до истечения налогового периода, последний расчет совокупного размера полученной выручки представляется не позднее 20-го числа месяца, следующего за отчетным периодом, указанным в абзаце первом пункта 2 статьи 285 настоящего Кодекса, в котором произошло указанное превышение совокупного размера полученной выручки</w:t>
      </w:r>
    </w:p>
    <w:p>
      <w:r>
        <w:rPr>
          <w:b/>
        </w:rPr>
        <w:t xml:space="preserve">5. </w:t>
      </w:r>
      <w:r>
        <w:t>Участник Технополиса утрачивает право на освобождение в случае наступления хотя бы одного из следующих обстоятельств</w:t>
      </w:r>
    </w:p>
    <w:p>
      <w:r>
        <w:rPr>
          <w:b/>
        </w:rPr>
        <w:t xml:space="preserve">6. </w:t>
      </w:r>
      <w:r>
        <w:t>Суммы убытка, полученные налогоплательщиком за периоды до использования им права на освобождение в соответствии с настоящей статьей, не могут быть перенесены на будущие периоды после признания организации налогоплательщиком</w:t>
      </w:r>
    </w:p>
    <w:p>
      <w:r>
        <w:rPr>
          <w:b/>
        </w:rPr>
        <w:t xml:space="preserve">7. </w:t>
      </w:r>
      <w:r>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утрачен статус участника Технополиса - со дня утраты такого статуса</w:t>
      </w:r>
    </w:p>
    <w:p>
      <w:r>
        <w:rPr>
          <w:b/>
        </w:rPr>
        <w:t xml:space="preserve">5. </w:t>
      </w:r>
      <w:r>
        <w:t>совокупный размер полученной участником Технополиса выручки, рассчитанный в порядке, предусмотренном пунктом 4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r>
        <w:rPr>
          <w:b/>
        </w:rPr>
        <w:t xml:space="preserve">5. </w:t>
      </w:r>
      <w:r>
        <w:t>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пунктом 4 настоящей статьи или представлен расчет, содержащий недостоверные сведения</w:t>
      </w:r>
    </w:p>
    <w:p>
      <w:r>
        <w:rPr>
          <w:b/>
        </w:rPr>
        <w:t xml:space="preserve">7. </w:t>
      </w:r>
      <w:r>
        <w:t>дополнить статьей 2461-1 следующего содержания: "Статья 2461-1.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 1. Организация, получившая статус участника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(далее в настоящей статье - право на освобождение) в порядке и на условиях, которые предусмотрены настоящей статьей. 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r>
        <w:rPr>
          <w:b/>
        </w:rPr>
        <w:t xml:space="preserve">5. </w:t>
      </w:r>
      <w:r>
        <w:t>утрачен статус участника Технополиса - с 1-го числа налогового периода, в котором такой статус был утрачен</w:t>
      </w:r>
    </w:p>
    <w:p>
      <w:r>
        <w:rPr>
          <w:b/>
        </w:rPr>
        <w:t xml:space="preserve">5. </w:t>
      </w:r>
      <w:r>
        <w:t>совокупный размер полученной участником Технополиса выручки, рассчитанный в порядке, предусмотренном пунктом 4 статьи 1452 настоящего Кодекса, превысил 1 миллиард рублей - с 1-го числа налогового периода, в котором произошло превышение указанного размера выручки</w:t>
      </w:r>
    </w:p>
    <w:p>
      <w:r>
        <w:rPr>
          <w:b/>
        </w:rPr>
        <w:t xml:space="preserve">5. </w:t>
      </w:r>
      <w:r>
        <w:t>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налогового периода, по истечении которого не представлен расчет совокупного размера полученной выручки либо представлен расчет, содержащий недостоверные сведения</w:t>
      </w:r>
    </w:p>
    <w:p>
      <w:r>
        <w:rPr>
          <w:b/>
        </w:rPr>
        <w:t xml:space="preserve">7. </w:t>
      </w:r>
      <w:r>
        <w:t>в подпункте 7 пункта 11 статьи 2861 слова "либо участники" заменить словами ", либо участники", дополнить словами ", либо участники Технополиса"</w:t>
      </w:r>
    </w:p>
    <w:p>
      <w:r>
        <w:rPr>
          <w:b/>
        </w:rPr>
        <w:t xml:space="preserve">7. </w:t>
      </w:r>
      <w:r>
        <w:t>в статье 427:</w:t>
      </w:r>
    </w:p>
    <w:p>
      <w:r>
        <w:rPr>
          <w:b/>
        </w:rPr>
        <w:t xml:space="preserve">7. </w:t>
      </w:r>
      <w:r>
        <w:t>подпункт 10 пункта 1 изложить в следующей редакции: "10)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либо для организаций, получивших статус участников Технополиса и созданных начиная с 1 января календарного года, предшествующего календарному году, в котором этими организациями подана заявка на внесение сведений в реестр участников Технополиса. Организации, получившие статус участника Технополиса, применяют единый пониженный тариф страховых взносов при условии, что они не применяют специальных налоговых режимов, предусмотренных настоящим Кодексом;"</w:t>
      </w:r>
    </w:p>
    <w:p>
      <w:r>
        <w:rPr>
          <w:b/>
        </w:rPr>
        <w:t xml:space="preserve">7. </w:t>
      </w:r>
      <w:r>
        <w:t>пункт 9 изложить в следующей редакции: "9. Плательщики, указанные в подпункте 10 пункта 1 настоящей статьи, применяют пониженные тарифы страховых взносов, предусмотренные подпунктом 4 пункта 2, пунктом 24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участника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(далее - участник проекта), либо участника Технополиса начиная с 1-го числа месяца, следующего за месяцем, в котором ими был получен статус участника проекта либо участника Технополиса. Участник Технополиса представляет в налоговый орган по месту учета в электронной форме расчет совокупного размера полученной выручки в порядке, предусмотренном пунктом 4 статьи 1452 настоящего Кодекса, в срок не позднее 20-го января года, следующего за истекшим календарным годом, в котором применялся единый пониженный тариф страховых взносов. 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 Пониженные тарифы страховых взносов, предусмотренные подпунктом 4 пункта 2, пунктом 24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1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законом от 28 сентября 2010 года № 244-ФЗ "Об инновационном центре "Сколково" либо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в порядке, определенном соглашением об информационном обмене. Единый пониженный тариф страховых взносов, предусмотренный пунктом 24 настоящей статьи, не применяется для участника Технополиса с 1-го числа квартала, в котором размер полученной этим участником Технополиса выручки, рассчитанный нарастающим итогом начиная с 1-го числа года, в котором получен статус участника Технополиса, превысил 1 миллиард рублей. В случае утраты статуса участника Технополиса единый пониженный тариф страховых взносов, предусмотренный пунктом 24 настоящей статьи, не применяется для участника Технополиса с 1-го числа месяца, в котором утрачен указанный статус. Информацию о получении и об утрате организациями статуса участника Технополиса в налоговые органы представляет специализированная организация, определенная Федеральным законом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в порядке, определенном соглашением об информационном обмене. Для организаций, утративших статус участника проекта, пониженные тарифы страховых взносов, предусмотренные подпунктом 4 пункта 2, пунктом 24 настоящей статьи, не применяются с 1-го числа месяца, в котором организация утратила статус участника проекта или участника Технополиса. Сумма страховых взносов, подлежащая уплате за расчетный (отчетный) период, в котором произошло превышение, указанное в абзаце третьем или четвертом настоящего пункта, или в котором плательщик страховых взносов утратил статус участника проекта либо участника Технополиса,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начислением соответствующих сумм пеней."</w:t>
      </w:r>
    </w:p>
    <w:p>
      <w:r>
        <w:rPr>
          <w:b/>
        </w:rPr>
        <w:t>Статья 3</w:t>
      </w:r>
    </w:p>
    <w:p>
      <w:r>
        <w:rPr>
          <w:b/>
        </w:rPr>
        <w:t xml:space="preserve">1. </w:t>
      </w:r>
      <w:r>
        <w:t>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законом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до дня вступления в силу настоящего Федерального закона, расчет совокупного размера полученной выручки представляет за период, начинающийся с 1-го числа года, в котором указанная организация начала использовать право на освобождение от исполнения обязанностей налогоплательщика налога на добавленную стоимость, освобождение от исполнения обязанностей налогоплательщика налога на прибыль организаций, единый пониженный тариф страховых взносов в соответствии со статьями 1452, 2461-1, 427 Налогового кодекса Российской Федерации (в редакции настоящего Федерального закона) соответственно</w:t>
      </w:r>
    </w:p>
    <w:p>
      <w:r>
        <w:rPr>
          <w:b/>
        </w:rPr>
        <w:t xml:space="preserve">2. </w:t>
      </w:r>
      <w:r>
        <w:t>До утверждения предусмотренного пунктом 9 статьи 427 Налогового кодекса Российской Федерации (в редакции настоящего Федерального закона) соглашения об информационном обмене со специализированной организацией, определенной Федеральным законом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организации, получившие статус участника Военного инновационного технополиса "Эра" Министерства обороны Российской Федерации, представляют в налоговый орган в целях использования права на освобождение от исполнения обязанностей налогоплательщика по налогу на добавленную стоимость и по налогу на прибыль организаций документ, подтверждающий получение указанного статуса, в срок, установленный пунктом 2 статьи 1452 Налогового кодекса Российской Федерации для представления уведомления об использовании права на освобождение от исполнения обязанностей налогоплательщика по налогу на добавленную стоимость и по налогу на прибыль организаций, в целях применения единого пониженного тарифа страховых взносов - в срок до 20-го числа месяца, следующего за месяцем, в котором ими был получен указанный статус</w:t>
      </w:r>
    </w:p>
    <w:p>
      <w:r>
        <w:rPr>
          <w:b/>
        </w:rPr>
        <w:t xml:space="preserve">3. </w:t>
      </w:r>
      <w:r>
        <w:t>До утверждения федеральным органом исполнительной власти, уполномоченным по контролю и надзору в области налогов и сборов, форм и форматов уведомлений, предусмотренных статьями 1452 и 2461-1 Налогового кодекса Российской Федерации, формы и формата расчета совокупного размера полученной выручки такие документы представляются по формам и форматам, которые рекомендованы федеральным органом исполнительной власти, уполномоченным по контролю и надзору в области налогов и сборов</w:t>
      </w:r>
    </w:p>
    <w:p>
      <w:r>
        <w:rPr>
          <w:b/>
        </w:rPr>
        <w:t>Статья 4</w:t>
      </w:r>
    </w:p>
    <w:p>
      <w:r>
        <w:t>Настоящий Федеральный закон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