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2009, № 29, ст. 3601; 2010, № 15, ст. 1736; 2011, № 50, ст. 7343; 2013, № 27, ст. 3436; № 30, ст. 4084; № 52, ст. 6961; 2014, № 30, ст. 4266; 2015, № 27, ст. 3947; № 41, ст. 5629; 2019, № 52, ст. 7803; 2021, № 27, ст. 5180; 2022, № 8, ст. 1034; № 24, ст. 3928; № 43, ст. 6299) следующие изменения</w:t>
      </w:r>
    </w:p>
    <w:p>
      <w:r>
        <w:t>пункт 4 части 3 статьи 19 дополнить словами ", а также на поддержку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>
      <w:r>
        <w:t>в части 2 статьи 20 слова "десятидневный срок с даты представления указанного заявления" заменить словами "десятидневный срок с даты получения указанного заявления"</w:t>
      </w:r>
    </w:p>
    <w:p>
      <w:r>
        <w:t>в статье 29: а) дополнить частью 11 следующего содержания: "11. В случае, если стоимость активов по последнему балансу финансовой организации, приобретающей акции (доли), активы и (или) права в отношении иной финансовой организации того же вида или входящей в одну группу лиц с лицом, приобретающим акции (доли), активы и (или) права в отношении иной финансовой организации того же вида, что и входящая с ним в одну группу лиц финансовая организация, превышает величину, установленную Правительством Российской Федерации по согласованию с Центральным банком Российской Федерации (для финансовой организации, не поднадзорной Центральному банку Российской Федерации, такая величина устанавливается Правительством Российской Федерации), с предварительного согласия антимонопольного органа осуществляются сделки с акциями (долями), активами финансовой организации или правами в отношении финансовой организации, указанные в части 1 настоящей статьи. В случае, если в одну группу лиц с финансовой организацией, приобретающей акции (доли), активы и (или) права в отношении иной финансовой организации того же вида или входящей в одну группу лиц с лицом, приобретающим акции (доли), активы и (или) права в отношении иной финансовой организации того же вида, что и входящая с ним в одну группу лиц финансовая организация, входит иная финансовая организация (иные финансовые организации) того же вида, предусмотренное настоящей частью требование о получении предварительного согласия антимонопольного органа на осуществление сделок применяется, если суммарная стоимость активов по последнему балансу финансовых организаций одного вида, входящих в одну группу лиц, превышает величину, установленную Правительством Российской Федерации по согласованию с Центральным банком Российской Федерации (для финансовых организаций, не поднадзорных Центральному банку Российской Федерации, такая величина устанавливается Правительством Российской Федерации). Вид финансовой организации определяется согласно перечню, указанному в пункте 6 статьи 4 настоящего Федерального закона, с учетом видов деятельности, предусмотренных федеральными законами, регулирующими деятельность таких финансовых организаций."; б) в части 2 слова "частью 1" заменить словами "частями 1 и 11", слова "в части 1" заменить словами "в частях 1 и 11"; в) в части 3 слова "частью 1" заменить словами "частями 1 и 11", слова "части 1" заменить словами "частях 1 и 11"</w:t>
      </w:r>
    </w:p>
    <w:p>
      <w:r>
        <w:t>в статье 391: а) часть 5 после слов "По мотивированному ходатайству лица, которому выдано предупреждение," дополнить словами "либо по инициативе антимонопольного органа"; б) часть 8 дополнить словами ", за исключением случая, если выдача предупреждения осуществлялась комиссией по рассмотрению дела о нарушении антимонопольного законодательства в период рассмотрения уже возбужденного дела о нарушении антимонопольного законодательства"</w:t>
      </w:r>
    </w:p>
    <w:p>
      <w:r>
        <w:t>в статье 44: а) часть 1 дополнить пунктом 6 следующего содержания: "6) подпись заявителя."; б) в части 3 слова "сведений, предусмотренных" заменить словами "сведений и документов, предусмотренных"</w:t>
      </w:r>
    </w:p>
    <w:p>
      <w:r>
        <w:t>часть 11 статьи 47 дополнить пунктом 4 следующего содержания: "4) выдачи комиссией предупреждения в случаях, предусмотренных статьей 391 настоящего Федерального закона."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